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6037" w:rsidRDefault="00000000">
      <w:pPr>
        <w:jc w:val="center"/>
        <w:rPr>
          <w:b/>
          <w:sz w:val="24"/>
          <w:szCs w:val="24"/>
          <w:u w:val="single"/>
        </w:rPr>
      </w:pPr>
      <w:r>
        <w:rPr>
          <w:b/>
          <w:sz w:val="24"/>
          <w:szCs w:val="24"/>
          <w:u w:val="single"/>
        </w:rPr>
        <w:t>ATTACHMENT A</w:t>
      </w:r>
    </w:p>
    <w:p w14:paraId="00000002" w14:textId="77777777" w:rsidR="00A06037" w:rsidRDefault="00A06037">
      <w:pPr>
        <w:jc w:val="center"/>
        <w:rPr>
          <w:b/>
          <w:sz w:val="24"/>
          <w:szCs w:val="24"/>
          <w:u w:val="single"/>
        </w:rPr>
      </w:pPr>
    </w:p>
    <w:p w14:paraId="00000003" w14:textId="77777777" w:rsidR="00A06037" w:rsidRDefault="00000000">
      <w:pPr>
        <w:jc w:val="center"/>
        <w:rPr>
          <w:b/>
          <w:sz w:val="24"/>
          <w:szCs w:val="24"/>
          <w:u w:val="single"/>
        </w:rPr>
      </w:pPr>
      <w:r>
        <w:rPr>
          <w:b/>
          <w:sz w:val="24"/>
          <w:szCs w:val="24"/>
          <w:u w:val="single"/>
        </w:rPr>
        <w:t>DRAFT CLIMATE CODE LANGUAGE</w:t>
      </w:r>
    </w:p>
    <w:p w14:paraId="00000004" w14:textId="77777777" w:rsidR="00A06037" w:rsidRDefault="00A06037"/>
    <w:p w14:paraId="00000005" w14:textId="77777777" w:rsidR="00A06037" w:rsidRDefault="00A06037"/>
    <w:p w14:paraId="00000006" w14:textId="50D076BE" w:rsidR="00A06037" w:rsidRDefault="00695F72">
      <w:bookmarkStart w:id="0" w:name="bookmark=id.gjdgxs" w:colFirst="0" w:colLast="0"/>
      <w:bookmarkEnd w:id="0"/>
      <w:r>
        <w:rPr>
          <w:b/>
        </w:rPr>
        <w:t xml:space="preserve">Traffic reduction associated with temporary </w:t>
      </w:r>
      <w:proofErr w:type="gramStart"/>
      <w:r>
        <w:rPr>
          <w:b/>
        </w:rPr>
        <w:t>events</w:t>
      </w:r>
      <w:proofErr w:type="gramEnd"/>
    </w:p>
    <w:tbl>
      <w:tblPr>
        <w:tblStyle w:val="a3"/>
        <w:tblW w:w="12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6"/>
        <w:gridCol w:w="4695"/>
        <w:gridCol w:w="3385"/>
        <w:gridCol w:w="3799"/>
      </w:tblGrid>
      <w:tr w:rsidR="00A06037" w14:paraId="6C52A6BA" w14:textId="77777777">
        <w:tc>
          <w:tcPr>
            <w:tcW w:w="1096" w:type="dxa"/>
            <w:shd w:val="clear" w:color="auto" w:fill="auto"/>
            <w:tcMar>
              <w:top w:w="100" w:type="dxa"/>
              <w:left w:w="100" w:type="dxa"/>
              <w:bottom w:w="100" w:type="dxa"/>
              <w:right w:w="100" w:type="dxa"/>
            </w:tcMar>
          </w:tcPr>
          <w:p w14:paraId="00000007" w14:textId="77777777" w:rsidR="00A06037" w:rsidRDefault="00000000">
            <w:pPr>
              <w:widowControl w:val="0"/>
              <w:spacing w:line="240" w:lineRule="auto"/>
            </w:pPr>
            <w:r>
              <w:t>Code</w:t>
            </w:r>
          </w:p>
        </w:tc>
        <w:tc>
          <w:tcPr>
            <w:tcW w:w="4695" w:type="dxa"/>
            <w:shd w:val="clear" w:color="auto" w:fill="auto"/>
            <w:tcMar>
              <w:top w:w="100" w:type="dxa"/>
              <w:left w:w="100" w:type="dxa"/>
              <w:bottom w:w="100" w:type="dxa"/>
              <w:right w:w="100" w:type="dxa"/>
            </w:tcMar>
          </w:tcPr>
          <w:p w14:paraId="00000008" w14:textId="77777777" w:rsidR="00A06037" w:rsidRDefault="00000000">
            <w:pPr>
              <w:widowControl w:val="0"/>
              <w:spacing w:line="240" w:lineRule="auto"/>
            </w:pPr>
            <w:r>
              <w:t>Draft language</w:t>
            </w:r>
          </w:p>
        </w:tc>
        <w:tc>
          <w:tcPr>
            <w:tcW w:w="3385" w:type="dxa"/>
            <w:tcMar>
              <w:top w:w="100" w:type="dxa"/>
              <w:left w:w="100" w:type="dxa"/>
              <w:bottom w:w="100" w:type="dxa"/>
              <w:right w:w="100" w:type="dxa"/>
            </w:tcMar>
          </w:tcPr>
          <w:p w14:paraId="00000009" w14:textId="77777777" w:rsidR="00A06037" w:rsidRDefault="00000000">
            <w:pPr>
              <w:widowControl w:val="0"/>
              <w:spacing w:line="240" w:lineRule="auto"/>
            </w:pPr>
            <w:r>
              <w:t>Approach</w:t>
            </w:r>
          </w:p>
        </w:tc>
        <w:tc>
          <w:tcPr>
            <w:tcW w:w="3799" w:type="dxa"/>
            <w:shd w:val="clear" w:color="auto" w:fill="auto"/>
            <w:tcMar>
              <w:top w:w="100" w:type="dxa"/>
              <w:left w:w="100" w:type="dxa"/>
              <w:bottom w:w="100" w:type="dxa"/>
              <w:right w:w="100" w:type="dxa"/>
            </w:tcMar>
          </w:tcPr>
          <w:p w14:paraId="0000000A" w14:textId="77777777" w:rsidR="00A06037" w:rsidRDefault="00000000">
            <w:pPr>
              <w:widowControl w:val="0"/>
              <w:spacing w:line="240" w:lineRule="auto"/>
            </w:pPr>
            <w:r>
              <w:t>Notes</w:t>
            </w:r>
          </w:p>
        </w:tc>
      </w:tr>
      <w:tr w:rsidR="00A06037" w14:paraId="707111A5" w14:textId="77777777">
        <w:tc>
          <w:tcPr>
            <w:tcW w:w="1096" w:type="dxa"/>
            <w:shd w:val="clear" w:color="auto" w:fill="auto"/>
            <w:tcMar>
              <w:top w:w="100" w:type="dxa"/>
              <w:left w:w="100" w:type="dxa"/>
              <w:bottom w:w="100" w:type="dxa"/>
              <w:right w:w="100" w:type="dxa"/>
            </w:tcMar>
          </w:tcPr>
          <w:p w14:paraId="00000010" w14:textId="77777777" w:rsidR="00A06037" w:rsidRDefault="00000000">
            <w:pPr>
              <w:widowControl w:val="0"/>
              <w:spacing w:line="240" w:lineRule="auto"/>
            </w:pPr>
            <w:r>
              <w:t>22.7.</w:t>
            </w:r>
            <w:proofErr w:type="gramStart"/>
            <w:r>
              <w:t>6.A</w:t>
            </w:r>
            <w:proofErr w:type="gramEnd"/>
          </w:p>
        </w:tc>
        <w:tc>
          <w:tcPr>
            <w:tcW w:w="4695" w:type="dxa"/>
            <w:shd w:val="clear" w:color="auto" w:fill="auto"/>
            <w:tcMar>
              <w:top w:w="100" w:type="dxa"/>
              <w:left w:w="100" w:type="dxa"/>
              <w:bottom w:w="100" w:type="dxa"/>
              <w:right w:w="100" w:type="dxa"/>
            </w:tcMar>
          </w:tcPr>
          <w:p w14:paraId="00000011" w14:textId="77777777" w:rsidR="00A06037" w:rsidRDefault="00000000">
            <w:pPr>
              <w:widowControl w:val="0"/>
              <w:spacing w:line="240" w:lineRule="auto"/>
            </w:pPr>
            <w:r>
              <w:t>Rewrite 22.7.6 as 22.7.</w:t>
            </w:r>
            <w:proofErr w:type="gramStart"/>
            <w:r>
              <w:t>6.A</w:t>
            </w:r>
            <w:proofErr w:type="gramEnd"/>
          </w:p>
        </w:tc>
        <w:tc>
          <w:tcPr>
            <w:tcW w:w="3385" w:type="dxa"/>
            <w:tcMar>
              <w:top w:w="100" w:type="dxa"/>
              <w:left w:w="100" w:type="dxa"/>
              <w:bottom w:w="100" w:type="dxa"/>
              <w:right w:w="100" w:type="dxa"/>
            </w:tcMar>
          </w:tcPr>
          <w:p w14:paraId="00000012" w14:textId="77777777" w:rsidR="00A06037" w:rsidRDefault="00000000">
            <w:pPr>
              <w:widowControl w:val="0"/>
              <w:spacing w:line="240" w:lineRule="auto"/>
            </w:pPr>
            <w:r>
              <w:t>N/A</w:t>
            </w:r>
          </w:p>
        </w:tc>
        <w:tc>
          <w:tcPr>
            <w:tcW w:w="3799" w:type="dxa"/>
            <w:shd w:val="clear" w:color="auto" w:fill="auto"/>
            <w:tcMar>
              <w:top w:w="100" w:type="dxa"/>
              <w:left w:w="100" w:type="dxa"/>
              <w:bottom w:w="100" w:type="dxa"/>
              <w:right w:w="100" w:type="dxa"/>
            </w:tcMar>
          </w:tcPr>
          <w:p w14:paraId="00000013" w14:textId="77777777" w:rsidR="00A06037" w:rsidRDefault="00A06037">
            <w:pPr>
              <w:widowControl w:val="0"/>
              <w:spacing w:line="240" w:lineRule="auto"/>
            </w:pPr>
          </w:p>
        </w:tc>
      </w:tr>
      <w:tr w:rsidR="00A06037" w14:paraId="3CBEED10" w14:textId="77777777">
        <w:tc>
          <w:tcPr>
            <w:tcW w:w="1096" w:type="dxa"/>
            <w:shd w:val="clear" w:color="auto" w:fill="auto"/>
            <w:tcMar>
              <w:top w:w="100" w:type="dxa"/>
              <w:left w:w="100" w:type="dxa"/>
              <w:bottom w:w="100" w:type="dxa"/>
              <w:right w:w="100" w:type="dxa"/>
            </w:tcMar>
          </w:tcPr>
          <w:p w14:paraId="00000014" w14:textId="77777777" w:rsidR="00A06037" w:rsidRDefault="00000000">
            <w:pPr>
              <w:widowControl w:val="0"/>
              <w:spacing w:line="240" w:lineRule="auto"/>
            </w:pPr>
            <w:r>
              <w:t>22.7.</w:t>
            </w:r>
            <w:proofErr w:type="gramStart"/>
            <w:r>
              <w:t>6.B</w:t>
            </w:r>
            <w:proofErr w:type="gramEnd"/>
          </w:p>
        </w:tc>
        <w:tc>
          <w:tcPr>
            <w:tcW w:w="4695" w:type="dxa"/>
            <w:shd w:val="clear" w:color="auto" w:fill="auto"/>
            <w:tcMar>
              <w:top w:w="100" w:type="dxa"/>
              <w:left w:w="100" w:type="dxa"/>
              <w:bottom w:w="100" w:type="dxa"/>
              <w:right w:w="100" w:type="dxa"/>
            </w:tcMar>
          </w:tcPr>
          <w:p w14:paraId="00000015" w14:textId="77777777" w:rsidR="00A06037" w:rsidRDefault="00000000">
            <w:pPr>
              <w:widowControl w:val="0"/>
              <w:spacing w:line="240" w:lineRule="auto"/>
            </w:pPr>
            <w:r>
              <w:t>A temporary event transportation plan must include a map of fixed route public transit stops, pedestrian access, and bike access. The plan must consider including bike valet, shuttle services, or rideshare drop off locations and include strategies for encouraging the use of alternatives to personal automobiles.</w:t>
            </w:r>
          </w:p>
        </w:tc>
        <w:tc>
          <w:tcPr>
            <w:tcW w:w="3385" w:type="dxa"/>
            <w:tcMar>
              <w:top w:w="100" w:type="dxa"/>
              <w:left w:w="100" w:type="dxa"/>
              <w:bottom w:w="100" w:type="dxa"/>
              <w:right w:w="100" w:type="dxa"/>
            </w:tcMar>
          </w:tcPr>
          <w:p w14:paraId="00000016" w14:textId="13538C9F" w:rsidR="00A06037" w:rsidRDefault="00000000">
            <w:pPr>
              <w:widowControl w:val="0"/>
              <w:spacing w:line="240" w:lineRule="auto"/>
            </w:pPr>
            <w:r>
              <w:t xml:space="preserve">Temporary </w:t>
            </w:r>
            <w:r w:rsidR="000213AD">
              <w:t>a</w:t>
            </w:r>
            <w:r>
              <w:t xml:space="preserve">ctivity Transportation </w:t>
            </w:r>
            <w:r w:rsidR="000213AD">
              <w:t>p</w:t>
            </w:r>
            <w:r>
              <w:t xml:space="preserve">lan as part of </w:t>
            </w:r>
            <w:r w:rsidR="000213AD">
              <w:t>t</w:t>
            </w:r>
            <w:r>
              <w:t xml:space="preserve">emporary </w:t>
            </w:r>
            <w:r w:rsidR="000213AD">
              <w:t>u</w:t>
            </w:r>
            <w:r w:rsidR="000A5A39">
              <w:t>se</w:t>
            </w:r>
            <w:r>
              <w:t xml:space="preserve"> </w:t>
            </w:r>
            <w:r w:rsidR="000213AD">
              <w:t>p</w:t>
            </w:r>
            <w:r>
              <w:t>ermit.</w:t>
            </w:r>
          </w:p>
          <w:p w14:paraId="00000017" w14:textId="355F2A0B" w:rsidR="00A06037" w:rsidRDefault="00000000">
            <w:pPr>
              <w:widowControl w:val="0"/>
              <w:spacing w:line="240" w:lineRule="auto"/>
            </w:pPr>
            <w:r>
              <w:t xml:space="preserve">Define </w:t>
            </w:r>
            <w:r w:rsidR="000213AD">
              <w:t>t</w:t>
            </w:r>
            <w:r>
              <w:t xml:space="preserve">ransportation </w:t>
            </w:r>
            <w:r w:rsidR="000213AD">
              <w:t>p</w:t>
            </w:r>
            <w:r>
              <w:t>lan requirements.</w:t>
            </w:r>
          </w:p>
        </w:tc>
        <w:tc>
          <w:tcPr>
            <w:tcW w:w="3799" w:type="dxa"/>
            <w:shd w:val="clear" w:color="auto" w:fill="auto"/>
            <w:tcMar>
              <w:top w:w="100" w:type="dxa"/>
              <w:left w:w="100" w:type="dxa"/>
              <w:bottom w:w="100" w:type="dxa"/>
              <w:right w:w="100" w:type="dxa"/>
            </w:tcMar>
          </w:tcPr>
          <w:p w14:paraId="00000018" w14:textId="4A340519" w:rsidR="00A06037" w:rsidRDefault="00A26A76">
            <w:pPr>
              <w:widowControl w:val="0"/>
              <w:spacing w:line="240" w:lineRule="auto"/>
            </w:pPr>
            <w:r>
              <w:t xml:space="preserve">See City of South Lake Tahoe additional </w:t>
            </w:r>
            <w:r w:rsidR="001038A1">
              <w:t>requirements</w:t>
            </w:r>
            <w:r>
              <w:t xml:space="preserve"> for temporary events</w:t>
            </w:r>
            <w:r w:rsidR="001038A1">
              <w:t xml:space="preserve"> (CSLT Code, </w:t>
            </w:r>
            <w:r w:rsidR="001038A1" w:rsidRPr="001038A1">
              <w:t>6.55.230.A.c.i</w:t>
            </w:r>
            <w:r w:rsidR="001038A1">
              <w:t>)</w:t>
            </w:r>
            <w:r>
              <w:t>.</w:t>
            </w:r>
          </w:p>
        </w:tc>
      </w:tr>
      <w:tr w:rsidR="00A06037" w14:paraId="03995E0D" w14:textId="77777777">
        <w:trPr>
          <w:trHeight w:val="2726"/>
        </w:trPr>
        <w:tc>
          <w:tcPr>
            <w:tcW w:w="1096" w:type="dxa"/>
            <w:shd w:val="clear" w:color="auto" w:fill="auto"/>
            <w:tcMar>
              <w:top w:w="100" w:type="dxa"/>
              <w:left w:w="100" w:type="dxa"/>
              <w:bottom w:w="100" w:type="dxa"/>
              <w:right w:w="100" w:type="dxa"/>
            </w:tcMar>
          </w:tcPr>
          <w:p w14:paraId="00000019" w14:textId="77777777" w:rsidR="00A06037" w:rsidRDefault="00000000">
            <w:pPr>
              <w:widowControl w:val="0"/>
              <w:spacing w:line="240" w:lineRule="auto"/>
            </w:pPr>
            <w:r>
              <w:t>22.7.</w:t>
            </w:r>
            <w:proofErr w:type="gramStart"/>
            <w:r>
              <w:t>6.B</w:t>
            </w:r>
            <w:proofErr w:type="gramEnd"/>
          </w:p>
        </w:tc>
        <w:tc>
          <w:tcPr>
            <w:tcW w:w="4695" w:type="dxa"/>
            <w:shd w:val="clear" w:color="auto" w:fill="auto"/>
            <w:tcMar>
              <w:top w:w="100" w:type="dxa"/>
              <w:left w:w="100" w:type="dxa"/>
              <w:bottom w:w="100" w:type="dxa"/>
              <w:right w:w="100" w:type="dxa"/>
            </w:tcMar>
          </w:tcPr>
          <w:p w14:paraId="0000001A" w14:textId="6938AC44" w:rsidR="00A06037" w:rsidRDefault="00000000">
            <w:pPr>
              <w:widowControl w:val="0"/>
              <w:spacing w:line="240" w:lineRule="auto"/>
            </w:pPr>
            <w:r>
              <w:t xml:space="preserve">For each </w:t>
            </w:r>
            <w:r w:rsidR="000668BB">
              <w:t>criteri</w:t>
            </w:r>
            <w:r w:rsidR="000668BB">
              <w:t xml:space="preserve">on listed below </w:t>
            </w:r>
            <w:r>
              <w:t>that is not provided by the event, the temporary event permit fee will increase.</w:t>
            </w:r>
          </w:p>
          <w:p w14:paraId="0000001B" w14:textId="77777777" w:rsidR="00A06037" w:rsidRDefault="00000000">
            <w:pPr>
              <w:widowControl w:val="0"/>
              <w:numPr>
                <w:ilvl w:val="0"/>
                <w:numId w:val="3"/>
              </w:numPr>
              <w:spacing w:line="240" w:lineRule="auto"/>
            </w:pPr>
            <w:r>
              <w:t>Bike valet</w:t>
            </w:r>
          </w:p>
          <w:p w14:paraId="0000001C" w14:textId="77777777" w:rsidR="00A06037" w:rsidRDefault="00000000">
            <w:pPr>
              <w:widowControl w:val="0"/>
              <w:numPr>
                <w:ilvl w:val="0"/>
                <w:numId w:val="3"/>
              </w:numPr>
              <w:spacing w:line="240" w:lineRule="auto"/>
            </w:pPr>
            <w:r>
              <w:t>Shuttle plan</w:t>
            </w:r>
          </w:p>
          <w:p w14:paraId="0000001D" w14:textId="3E35AD21" w:rsidR="00A06037" w:rsidRDefault="00000000">
            <w:pPr>
              <w:widowControl w:val="0"/>
              <w:numPr>
                <w:ilvl w:val="0"/>
                <w:numId w:val="3"/>
              </w:numPr>
              <w:spacing w:line="240" w:lineRule="auto"/>
            </w:pPr>
            <w:r>
              <w:t xml:space="preserve">Rideshare </w:t>
            </w:r>
            <w:r w:rsidR="000668BB">
              <w:t xml:space="preserve">drop </w:t>
            </w:r>
            <w:proofErr w:type="gramStart"/>
            <w:r w:rsidR="000668BB">
              <w:t>off</w:t>
            </w:r>
            <w:proofErr w:type="gramEnd"/>
          </w:p>
          <w:p w14:paraId="0000001E" w14:textId="77777777" w:rsidR="00A06037" w:rsidRDefault="00000000">
            <w:pPr>
              <w:widowControl w:val="0"/>
              <w:numPr>
                <w:ilvl w:val="0"/>
                <w:numId w:val="3"/>
              </w:numPr>
              <w:spacing w:line="240" w:lineRule="auto"/>
            </w:pPr>
            <w:r>
              <w:t>Pedestrian access</w:t>
            </w:r>
          </w:p>
          <w:p w14:paraId="0000001F" w14:textId="77777777" w:rsidR="00A06037" w:rsidRDefault="00000000">
            <w:pPr>
              <w:widowControl w:val="0"/>
              <w:numPr>
                <w:ilvl w:val="0"/>
                <w:numId w:val="3"/>
              </w:numPr>
              <w:spacing w:line="240" w:lineRule="auto"/>
            </w:pPr>
            <w:r>
              <w:t>Bike access</w:t>
            </w:r>
          </w:p>
          <w:p w14:paraId="00000020" w14:textId="77777777" w:rsidR="00A06037" w:rsidRDefault="00A06037">
            <w:pPr>
              <w:widowControl w:val="0"/>
              <w:spacing w:line="240" w:lineRule="auto"/>
            </w:pPr>
          </w:p>
        </w:tc>
        <w:tc>
          <w:tcPr>
            <w:tcW w:w="3385" w:type="dxa"/>
            <w:tcMar>
              <w:top w:w="100" w:type="dxa"/>
              <w:left w:w="100" w:type="dxa"/>
              <w:bottom w:w="100" w:type="dxa"/>
              <w:right w:w="100" w:type="dxa"/>
            </w:tcMar>
          </w:tcPr>
          <w:p w14:paraId="00000021" w14:textId="77777777" w:rsidR="00A06037" w:rsidRDefault="00A06037">
            <w:pPr>
              <w:widowControl w:val="0"/>
              <w:spacing w:line="240" w:lineRule="auto"/>
            </w:pPr>
          </w:p>
          <w:p w14:paraId="00000022" w14:textId="77777777" w:rsidR="00A06037" w:rsidRDefault="00A06037">
            <w:pPr>
              <w:widowControl w:val="0"/>
              <w:spacing w:line="240" w:lineRule="auto"/>
            </w:pPr>
          </w:p>
        </w:tc>
        <w:tc>
          <w:tcPr>
            <w:tcW w:w="3799" w:type="dxa"/>
            <w:shd w:val="clear" w:color="auto" w:fill="auto"/>
            <w:tcMar>
              <w:top w:w="100" w:type="dxa"/>
              <w:left w:w="100" w:type="dxa"/>
              <w:bottom w:w="100" w:type="dxa"/>
              <w:right w:w="100" w:type="dxa"/>
            </w:tcMar>
          </w:tcPr>
          <w:p w14:paraId="00000023" w14:textId="0FC245A7" w:rsidR="00A06037" w:rsidRDefault="00000000">
            <w:pPr>
              <w:widowControl w:val="0"/>
              <w:spacing w:line="240" w:lineRule="auto"/>
            </w:pPr>
            <w:r>
              <w:t xml:space="preserve">Alternate option. </w:t>
            </w:r>
          </w:p>
          <w:p w14:paraId="00000024" w14:textId="77777777" w:rsidR="00A06037" w:rsidRDefault="00A06037">
            <w:pPr>
              <w:widowControl w:val="0"/>
              <w:spacing w:line="240" w:lineRule="auto"/>
            </w:pPr>
          </w:p>
          <w:p w14:paraId="00000025" w14:textId="77777777" w:rsidR="00A06037" w:rsidRDefault="00A06037">
            <w:pPr>
              <w:widowControl w:val="0"/>
              <w:spacing w:line="240" w:lineRule="auto"/>
            </w:pPr>
          </w:p>
          <w:p w14:paraId="00000026" w14:textId="77777777" w:rsidR="00A06037" w:rsidRDefault="00A06037">
            <w:pPr>
              <w:widowControl w:val="0"/>
              <w:spacing w:line="240" w:lineRule="auto"/>
            </w:pPr>
          </w:p>
        </w:tc>
      </w:tr>
    </w:tbl>
    <w:p w14:paraId="00000027" w14:textId="77777777" w:rsidR="00A06037" w:rsidRDefault="00A06037">
      <w:pPr>
        <w:rPr>
          <w:b/>
        </w:rPr>
      </w:pPr>
    </w:p>
    <w:p w14:paraId="00000028" w14:textId="77777777" w:rsidR="00A06037" w:rsidRDefault="00000000">
      <w:pPr>
        <w:rPr>
          <w:b/>
        </w:rPr>
      </w:pPr>
      <w:r>
        <w:br w:type="page"/>
      </w:r>
    </w:p>
    <w:p w14:paraId="00000029" w14:textId="53FB13CB" w:rsidR="00A06037" w:rsidRDefault="00695F72">
      <w:pPr>
        <w:rPr>
          <w:b/>
        </w:rPr>
      </w:pPr>
      <w:r>
        <w:rPr>
          <w:b/>
        </w:rPr>
        <w:lastRenderedPageBreak/>
        <w:t>Electric vehicle (EV) charging</w:t>
      </w:r>
    </w:p>
    <w:tbl>
      <w:tblPr>
        <w:tblStyle w:val="a4"/>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8220"/>
        <w:gridCol w:w="1710"/>
        <w:gridCol w:w="1980"/>
      </w:tblGrid>
      <w:tr w:rsidR="00A06037" w14:paraId="2DB9C708" w14:textId="77777777">
        <w:tc>
          <w:tcPr>
            <w:tcW w:w="1035" w:type="dxa"/>
            <w:shd w:val="clear" w:color="auto" w:fill="auto"/>
            <w:tcMar>
              <w:top w:w="100" w:type="dxa"/>
              <w:left w:w="100" w:type="dxa"/>
              <w:bottom w:w="100" w:type="dxa"/>
              <w:right w:w="100" w:type="dxa"/>
            </w:tcMar>
          </w:tcPr>
          <w:p w14:paraId="0000002A" w14:textId="77777777" w:rsidR="00A06037" w:rsidRDefault="00000000">
            <w:pPr>
              <w:widowControl w:val="0"/>
              <w:spacing w:line="240" w:lineRule="auto"/>
            </w:pPr>
            <w:r>
              <w:t>Code</w:t>
            </w:r>
          </w:p>
        </w:tc>
        <w:tc>
          <w:tcPr>
            <w:tcW w:w="8220" w:type="dxa"/>
            <w:shd w:val="clear" w:color="auto" w:fill="auto"/>
            <w:tcMar>
              <w:top w:w="100" w:type="dxa"/>
              <w:left w:w="100" w:type="dxa"/>
              <w:bottom w:w="100" w:type="dxa"/>
              <w:right w:w="100" w:type="dxa"/>
            </w:tcMar>
          </w:tcPr>
          <w:p w14:paraId="0000002B" w14:textId="77777777" w:rsidR="00A06037" w:rsidRDefault="00000000">
            <w:pPr>
              <w:widowControl w:val="0"/>
              <w:spacing w:line="240" w:lineRule="auto"/>
            </w:pPr>
            <w:r>
              <w:t>Draft language</w:t>
            </w:r>
          </w:p>
        </w:tc>
        <w:tc>
          <w:tcPr>
            <w:tcW w:w="1710" w:type="dxa"/>
            <w:shd w:val="clear" w:color="auto" w:fill="auto"/>
            <w:tcMar>
              <w:top w:w="100" w:type="dxa"/>
              <w:left w:w="100" w:type="dxa"/>
              <w:bottom w:w="100" w:type="dxa"/>
              <w:right w:w="100" w:type="dxa"/>
            </w:tcMar>
          </w:tcPr>
          <w:p w14:paraId="0000002C" w14:textId="77777777" w:rsidR="00A06037" w:rsidRDefault="00000000">
            <w:pPr>
              <w:widowControl w:val="0"/>
              <w:spacing w:line="240" w:lineRule="auto"/>
            </w:pPr>
            <w:r>
              <w:t>Approach</w:t>
            </w:r>
          </w:p>
        </w:tc>
        <w:tc>
          <w:tcPr>
            <w:tcW w:w="1980" w:type="dxa"/>
            <w:shd w:val="clear" w:color="auto" w:fill="auto"/>
            <w:tcMar>
              <w:top w:w="100" w:type="dxa"/>
              <w:left w:w="100" w:type="dxa"/>
              <w:bottom w:w="100" w:type="dxa"/>
              <w:right w:w="100" w:type="dxa"/>
            </w:tcMar>
          </w:tcPr>
          <w:p w14:paraId="0000002D" w14:textId="77777777" w:rsidR="00A06037" w:rsidRDefault="00000000">
            <w:pPr>
              <w:widowControl w:val="0"/>
              <w:spacing w:line="240" w:lineRule="auto"/>
            </w:pPr>
            <w:r>
              <w:t>Notes</w:t>
            </w:r>
          </w:p>
        </w:tc>
      </w:tr>
      <w:tr w:rsidR="00A06037" w14:paraId="4B153B1F" w14:textId="77777777">
        <w:tc>
          <w:tcPr>
            <w:tcW w:w="1035" w:type="dxa"/>
            <w:shd w:val="clear" w:color="auto" w:fill="auto"/>
            <w:tcMar>
              <w:top w:w="100" w:type="dxa"/>
              <w:left w:w="100" w:type="dxa"/>
              <w:bottom w:w="100" w:type="dxa"/>
              <w:right w:w="100" w:type="dxa"/>
            </w:tcMar>
          </w:tcPr>
          <w:p w14:paraId="0000002E" w14:textId="77777777" w:rsidR="00A06037" w:rsidRDefault="00000000">
            <w:pPr>
              <w:widowControl w:val="0"/>
              <w:spacing w:line="240" w:lineRule="auto"/>
            </w:pPr>
            <w:r>
              <w:t>90.2</w:t>
            </w:r>
          </w:p>
        </w:tc>
        <w:tc>
          <w:tcPr>
            <w:tcW w:w="8220" w:type="dxa"/>
            <w:shd w:val="clear" w:color="auto" w:fill="auto"/>
            <w:tcMar>
              <w:top w:w="100" w:type="dxa"/>
              <w:left w:w="100" w:type="dxa"/>
              <w:bottom w:w="100" w:type="dxa"/>
              <w:right w:w="100" w:type="dxa"/>
            </w:tcMar>
          </w:tcPr>
          <w:p w14:paraId="0000002F" w14:textId="77777777" w:rsidR="00A06037" w:rsidRDefault="00000000">
            <w:pPr>
              <w:widowControl w:val="0"/>
              <w:spacing w:line="240" w:lineRule="auto"/>
            </w:pPr>
            <w:r>
              <w:t>"</w:t>
            </w:r>
            <w:r>
              <w:rPr>
                <w:b/>
              </w:rPr>
              <w:t>Electric vehicle charge</w:t>
            </w:r>
            <w:r>
              <w:t>r" means off-board charging equipment used to charge an electric vehicle.</w:t>
            </w:r>
          </w:p>
          <w:p w14:paraId="00000030" w14:textId="77777777" w:rsidR="00A06037" w:rsidRDefault="00000000">
            <w:pPr>
              <w:widowControl w:val="0"/>
              <w:spacing w:line="240" w:lineRule="auto"/>
            </w:pPr>
            <w:r>
              <w:t>"</w:t>
            </w:r>
            <w:r>
              <w:rPr>
                <w:b/>
              </w:rPr>
              <w:t>Electric vehicle charger level 2</w:t>
            </w:r>
            <w:r>
              <w:t>" means a 208-240 volt electric vehicle charger.</w:t>
            </w:r>
          </w:p>
          <w:p w14:paraId="00000031" w14:textId="77777777" w:rsidR="00A06037" w:rsidRDefault="00000000">
            <w:pPr>
              <w:widowControl w:val="0"/>
              <w:spacing w:line="240" w:lineRule="auto"/>
            </w:pPr>
            <w:r>
              <w:t>"</w:t>
            </w:r>
            <w:r>
              <w:rPr>
                <w:b/>
              </w:rPr>
              <w:t>Electric vehicle charging space</w:t>
            </w:r>
            <w:r>
              <w:t>" means a parking space intended for use of EV charging equipment and charging of electric vehicles. The minimum length of each EV space shall be 18 feet. The minimum width of each EV space shall be 9 feet.</w:t>
            </w:r>
          </w:p>
          <w:p w14:paraId="00000032" w14:textId="77777777" w:rsidR="00A06037" w:rsidRDefault="00000000">
            <w:pPr>
              <w:widowControl w:val="0"/>
              <w:spacing w:line="240" w:lineRule="auto"/>
            </w:pPr>
            <w:r>
              <w:t>"</w:t>
            </w:r>
            <w:r>
              <w:rPr>
                <w:b/>
              </w:rPr>
              <w:t>Electric vehicle charging station</w:t>
            </w:r>
            <w:r>
              <w:t>" means one or more electric vehicle charging spaces served by electric vehicle charger(s) or other charging equipment allowing charging of electric vehicles. See also "Electric Vehicle Supply Equipment (EVSE)."</w:t>
            </w:r>
          </w:p>
          <w:p w14:paraId="00000033" w14:textId="77777777" w:rsidR="00A06037" w:rsidRDefault="00000000">
            <w:pPr>
              <w:widowControl w:val="0"/>
              <w:spacing w:line="240" w:lineRule="auto"/>
            </w:pPr>
            <w:r>
              <w:t>"</w:t>
            </w:r>
            <w:r>
              <w:rPr>
                <w:b/>
              </w:rPr>
              <w:t>Electric vehicle direct current (DC) fast charger</w:t>
            </w:r>
            <w:r>
              <w:t>" means a 400-volt or greater electric vehicle charger.</w:t>
            </w:r>
          </w:p>
          <w:p w14:paraId="00000034" w14:textId="77777777" w:rsidR="00A06037" w:rsidRDefault="00000000">
            <w:pPr>
              <w:widowControl w:val="0"/>
              <w:spacing w:line="240" w:lineRule="auto"/>
            </w:pPr>
            <w:r>
              <w:t>"</w:t>
            </w:r>
            <w:r>
              <w:rPr>
                <w:b/>
              </w:rPr>
              <w:t>EV Capable</w:t>
            </w:r>
            <w:r>
              <w:t>" Installation of the enclosed conduit that forms the physical pathway for electrical wiring to protect it from damage and adequate panel capacity to accommodate future installation of a dedicated branch circuit and charging station(s).</w:t>
            </w:r>
          </w:p>
          <w:p w14:paraId="00000035" w14:textId="77777777" w:rsidR="00A06037" w:rsidRDefault="00000000">
            <w:pPr>
              <w:widowControl w:val="0"/>
              <w:spacing w:line="240" w:lineRule="auto"/>
            </w:pPr>
            <w:r>
              <w:t>"</w:t>
            </w:r>
            <w:r>
              <w:rPr>
                <w:b/>
              </w:rPr>
              <w:t>EV Installed</w:t>
            </w:r>
            <w:r>
              <w:t>" EV Ready plus installation of a minimum number of Level 2 or DC electric vehicle supply equipment (EV chargers).</w:t>
            </w:r>
          </w:p>
          <w:p w14:paraId="00000036" w14:textId="77777777" w:rsidR="00A06037" w:rsidRDefault="00000000">
            <w:pPr>
              <w:widowControl w:val="0"/>
              <w:spacing w:line="240" w:lineRule="auto"/>
            </w:pPr>
            <w:r>
              <w:t>"</w:t>
            </w:r>
            <w:r>
              <w:rPr>
                <w:b/>
              </w:rPr>
              <w:t>EV Ready"</w:t>
            </w:r>
            <w:r>
              <w:t xml:space="preserve"> EV Capable plus installation of dedicated branch circuit(s) or electrical pre-wiring, circuit breakers, and other electrical components, including a receptacle (240-volt outlet) or blank cover needed to support future installation of one or more charging stations.</w:t>
            </w:r>
          </w:p>
          <w:p w14:paraId="00000037" w14:textId="77777777" w:rsidR="00A06037" w:rsidRDefault="00000000">
            <w:pPr>
              <w:widowControl w:val="0"/>
              <w:spacing w:line="240" w:lineRule="auto"/>
            </w:pPr>
            <w:r>
              <w:t>"</w:t>
            </w:r>
            <w:r>
              <w:rPr>
                <w:b/>
              </w:rPr>
              <w:t>Universal EV Charger</w:t>
            </w:r>
            <w:r>
              <w:t>" Electric vehicle charging station that is compatible with all electric vehicles, regardless of the input.</w:t>
            </w:r>
          </w:p>
          <w:p w14:paraId="00000038" w14:textId="77777777" w:rsidR="00A06037" w:rsidRDefault="00A06037">
            <w:pPr>
              <w:widowControl w:val="0"/>
              <w:spacing w:line="240" w:lineRule="auto"/>
            </w:pPr>
          </w:p>
          <w:p w14:paraId="00000039" w14:textId="77777777" w:rsidR="00A06037" w:rsidRDefault="00A06037">
            <w:pPr>
              <w:widowControl w:val="0"/>
              <w:spacing w:line="240" w:lineRule="auto"/>
            </w:pPr>
          </w:p>
          <w:p w14:paraId="0000003A" w14:textId="77777777" w:rsidR="00A06037" w:rsidRDefault="00A06037">
            <w:pPr>
              <w:widowControl w:val="0"/>
              <w:spacing w:line="240" w:lineRule="auto"/>
            </w:pPr>
          </w:p>
          <w:p w14:paraId="0000003B" w14:textId="77777777" w:rsidR="00A06037" w:rsidRDefault="00A06037">
            <w:pPr>
              <w:widowControl w:val="0"/>
              <w:spacing w:line="240" w:lineRule="auto"/>
            </w:pPr>
          </w:p>
        </w:tc>
        <w:tc>
          <w:tcPr>
            <w:tcW w:w="1710" w:type="dxa"/>
            <w:shd w:val="clear" w:color="auto" w:fill="auto"/>
            <w:tcMar>
              <w:top w:w="100" w:type="dxa"/>
              <w:left w:w="100" w:type="dxa"/>
              <w:bottom w:w="100" w:type="dxa"/>
              <w:right w:w="100" w:type="dxa"/>
            </w:tcMar>
          </w:tcPr>
          <w:p w14:paraId="0000003C" w14:textId="77777777" w:rsidR="00A06037" w:rsidRDefault="00000000">
            <w:pPr>
              <w:widowControl w:val="0"/>
              <w:spacing w:line="240" w:lineRule="auto"/>
            </w:pPr>
            <w:r>
              <w:t>Define electric vehicle charging stations in code</w:t>
            </w:r>
          </w:p>
        </w:tc>
        <w:tc>
          <w:tcPr>
            <w:tcW w:w="1980" w:type="dxa"/>
            <w:shd w:val="clear" w:color="auto" w:fill="auto"/>
            <w:tcMar>
              <w:top w:w="100" w:type="dxa"/>
              <w:left w:w="100" w:type="dxa"/>
              <w:bottom w:w="100" w:type="dxa"/>
              <w:right w:w="100" w:type="dxa"/>
            </w:tcMar>
          </w:tcPr>
          <w:p w14:paraId="0000003D" w14:textId="77777777" w:rsidR="00A06037" w:rsidRDefault="00A06037">
            <w:pPr>
              <w:widowControl w:val="0"/>
              <w:spacing w:line="240" w:lineRule="auto"/>
            </w:pPr>
          </w:p>
        </w:tc>
      </w:tr>
      <w:tr w:rsidR="00A06037" w14:paraId="0889FD77" w14:textId="77777777">
        <w:tc>
          <w:tcPr>
            <w:tcW w:w="1035" w:type="dxa"/>
            <w:shd w:val="clear" w:color="auto" w:fill="auto"/>
            <w:tcMar>
              <w:top w:w="100" w:type="dxa"/>
              <w:left w:w="100" w:type="dxa"/>
              <w:bottom w:w="100" w:type="dxa"/>
              <w:right w:w="100" w:type="dxa"/>
            </w:tcMar>
          </w:tcPr>
          <w:p w14:paraId="0000003E" w14:textId="77777777" w:rsidR="00A06037" w:rsidRDefault="00000000">
            <w:pPr>
              <w:widowControl w:val="0"/>
              <w:spacing w:line="240" w:lineRule="auto"/>
            </w:pPr>
            <w:r>
              <w:t>21.3.1</w:t>
            </w:r>
          </w:p>
        </w:tc>
        <w:tc>
          <w:tcPr>
            <w:tcW w:w="8220" w:type="dxa"/>
            <w:shd w:val="clear" w:color="auto" w:fill="auto"/>
            <w:tcMar>
              <w:top w:w="100" w:type="dxa"/>
              <w:left w:w="100" w:type="dxa"/>
              <w:bottom w:w="100" w:type="dxa"/>
              <w:right w:w="100" w:type="dxa"/>
            </w:tcMar>
          </w:tcPr>
          <w:p w14:paraId="0000003F" w14:textId="77777777" w:rsidR="00A06037" w:rsidRDefault="00000000">
            <w:pPr>
              <w:widowControl w:val="0"/>
              <w:spacing w:line="240" w:lineRule="auto"/>
            </w:pPr>
            <w:r>
              <w:t xml:space="preserve">A. Accessory uses such as garages, green houses, homeowner association offices, art studios, workshops, swimming pools, storage structures, tennis courts, dog runs, emergency facilities, hope occupations, accessory dwelling units, </w:t>
            </w:r>
            <w:r>
              <w:rPr>
                <w:b/>
              </w:rPr>
              <w:lastRenderedPageBreak/>
              <w:t>electric vehicle stations,</w:t>
            </w:r>
            <w:r>
              <w:t xml:space="preserve"> and other uses listed in the definition of a “primary use” as accessory. </w:t>
            </w:r>
          </w:p>
          <w:p w14:paraId="00000040" w14:textId="77777777" w:rsidR="00A06037" w:rsidRDefault="00A06037">
            <w:pPr>
              <w:widowControl w:val="0"/>
              <w:spacing w:line="240" w:lineRule="auto"/>
            </w:pPr>
          </w:p>
          <w:p w14:paraId="00000041" w14:textId="77777777" w:rsidR="00A06037" w:rsidRDefault="00000000">
            <w:pPr>
              <w:widowControl w:val="0"/>
              <w:spacing w:line="240" w:lineRule="auto"/>
              <w:rPr>
                <w:b/>
              </w:rPr>
            </w:pPr>
            <w:r>
              <w:t xml:space="preserve">B. Accessory uses such as garages, parking lots, swimming pools, tennis courts, bars and restaurants, equipment rental, maintenance facilities, laundries, gymnasiums, coin operated amusements, meeting rooms, managers quarters, </w:t>
            </w:r>
            <w:proofErr w:type="gramStart"/>
            <w:r>
              <w:t>child care</w:t>
            </w:r>
            <w:proofErr w:type="gramEnd"/>
            <w:r>
              <w:t xml:space="preserve"> facilities, emergency facilities, employee facilities other than housing, accessory dwelling units, restricted gaming (Nevada only), </w:t>
            </w:r>
            <w:r>
              <w:rPr>
                <w:b/>
              </w:rPr>
              <w:t xml:space="preserve">electric vehicle stations, </w:t>
            </w:r>
            <w:r>
              <w:t>and other uses listed in the definition of a “primary use” as accessory.</w:t>
            </w:r>
          </w:p>
          <w:p w14:paraId="00000042" w14:textId="77777777" w:rsidR="00A06037" w:rsidRDefault="00A06037">
            <w:pPr>
              <w:widowControl w:val="0"/>
              <w:spacing w:line="240" w:lineRule="auto"/>
            </w:pPr>
          </w:p>
          <w:p w14:paraId="00000043" w14:textId="77777777" w:rsidR="00A06037" w:rsidRDefault="00000000">
            <w:pPr>
              <w:widowControl w:val="0"/>
              <w:spacing w:line="240" w:lineRule="auto"/>
            </w:pPr>
            <w:r>
              <w:t xml:space="preserve">C. Accessory uses such as garages, parking lots, emergency facilities, maintenance facilities, employee facilities other than housing, accessory dwelling units, restricted gaming (Nevada only), storage buildings, </w:t>
            </w:r>
            <w:r>
              <w:rPr>
                <w:b/>
              </w:rPr>
              <w:t>electric vehicle stations</w:t>
            </w:r>
            <w:r>
              <w:t xml:space="preserve">, and other uses listed in the definition of a “primary use” as accessory. </w:t>
            </w:r>
          </w:p>
          <w:p w14:paraId="00000044" w14:textId="77777777" w:rsidR="00A06037" w:rsidRDefault="00A06037">
            <w:pPr>
              <w:widowControl w:val="0"/>
              <w:spacing w:line="240" w:lineRule="auto"/>
            </w:pPr>
          </w:p>
          <w:p w14:paraId="00000045" w14:textId="77777777" w:rsidR="00A06037" w:rsidRDefault="00000000">
            <w:pPr>
              <w:widowControl w:val="0"/>
              <w:spacing w:line="240" w:lineRule="auto"/>
            </w:pPr>
            <w:r>
              <w:t xml:space="preserve">D. Accessory uses such as garages, accessory dwelling units, </w:t>
            </w:r>
            <w:r>
              <w:rPr>
                <w:b/>
              </w:rPr>
              <w:t>electric vehicle stations</w:t>
            </w:r>
            <w:r>
              <w:t>, and emergency facilities.</w:t>
            </w:r>
          </w:p>
          <w:p w14:paraId="00000046" w14:textId="77777777" w:rsidR="00A06037" w:rsidRDefault="00A06037">
            <w:pPr>
              <w:widowControl w:val="0"/>
              <w:spacing w:line="240" w:lineRule="auto"/>
            </w:pPr>
          </w:p>
          <w:p w14:paraId="00000047" w14:textId="2C3FB191" w:rsidR="00A06037" w:rsidRDefault="00000000">
            <w:pPr>
              <w:widowControl w:val="0"/>
              <w:spacing w:line="240" w:lineRule="auto"/>
            </w:pPr>
            <w:r>
              <w:t xml:space="preserve">E. Accessory uses such as garages, emergency facilities, </w:t>
            </w:r>
            <w:r w:rsidR="000668BB">
              <w:t>childcare</w:t>
            </w:r>
            <w:r>
              <w:t xml:space="preserve">, related commercial sales and services such as ski shops, pro shops, marine sales and repairs, parking lots, maintenance facilities, swimming pools, tennis courts, employee facilities other than housing, accessory dwelling units, outdoor recreation concessions, bars and restaurants, </w:t>
            </w:r>
            <w:r>
              <w:rPr>
                <w:b/>
              </w:rPr>
              <w:t>electric vehicle stations</w:t>
            </w:r>
            <w:r>
              <w:t>, and other uses listed in the definition of a “primary use” as accessory.</w:t>
            </w:r>
          </w:p>
        </w:tc>
        <w:tc>
          <w:tcPr>
            <w:tcW w:w="1710" w:type="dxa"/>
            <w:shd w:val="clear" w:color="auto" w:fill="auto"/>
            <w:tcMar>
              <w:top w:w="100" w:type="dxa"/>
              <w:left w:w="100" w:type="dxa"/>
              <w:bottom w:w="100" w:type="dxa"/>
              <w:right w:w="100" w:type="dxa"/>
            </w:tcMar>
          </w:tcPr>
          <w:p w14:paraId="00000048" w14:textId="77777777" w:rsidR="00A06037" w:rsidRDefault="00000000">
            <w:pPr>
              <w:widowControl w:val="0"/>
              <w:spacing w:line="240" w:lineRule="auto"/>
            </w:pPr>
            <w:r>
              <w:lastRenderedPageBreak/>
              <w:t xml:space="preserve">Accessory use definition </w:t>
            </w:r>
          </w:p>
        </w:tc>
        <w:tc>
          <w:tcPr>
            <w:tcW w:w="1980" w:type="dxa"/>
            <w:shd w:val="clear" w:color="auto" w:fill="auto"/>
            <w:tcMar>
              <w:top w:w="100" w:type="dxa"/>
              <w:left w:w="100" w:type="dxa"/>
              <w:bottom w:w="100" w:type="dxa"/>
              <w:right w:w="100" w:type="dxa"/>
            </w:tcMar>
          </w:tcPr>
          <w:p w14:paraId="00000049" w14:textId="77777777" w:rsidR="00A06037" w:rsidRDefault="00A06037">
            <w:pPr>
              <w:widowControl w:val="0"/>
              <w:spacing w:line="240" w:lineRule="auto"/>
            </w:pPr>
          </w:p>
        </w:tc>
      </w:tr>
      <w:tr w:rsidR="00A06037" w14:paraId="05A92940" w14:textId="77777777">
        <w:tc>
          <w:tcPr>
            <w:tcW w:w="1035" w:type="dxa"/>
            <w:shd w:val="clear" w:color="auto" w:fill="auto"/>
            <w:tcMar>
              <w:top w:w="100" w:type="dxa"/>
              <w:left w:w="100" w:type="dxa"/>
              <w:bottom w:w="100" w:type="dxa"/>
              <w:right w:w="100" w:type="dxa"/>
            </w:tcMar>
          </w:tcPr>
          <w:p w14:paraId="0000004A" w14:textId="77777777" w:rsidR="00A06037" w:rsidRDefault="00000000">
            <w:pPr>
              <w:widowControl w:val="0"/>
              <w:spacing w:line="240" w:lineRule="auto"/>
            </w:pPr>
            <w:r>
              <w:t>34.4.1</w:t>
            </w:r>
          </w:p>
        </w:tc>
        <w:tc>
          <w:tcPr>
            <w:tcW w:w="8220" w:type="dxa"/>
            <w:shd w:val="clear" w:color="auto" w:fill="auto"/>
            <w:tcMar>
              <w:top w:w="100" w:type="dxa"/>
              <w:left w:w="100" w:type="dxa"/>
              <w:bottom w:w="100" w:type="dxa"/>
              <w:right w:w="100" w:type="dxa"/>
            </w:tcMar>
          </w:tcPr>
          <w:p w14:paraId="0000004B" w14:textId="6BA6EA43" w:rsidR="00A06037" w:rsidRDefault="00000000">
            <w:pPr>
              <w:widowControl w:val="0"/>
              <w:spacing w:line="240" w:lineRule="auto"/>
            </w:pPr>
            <w:r>
              <w:t xml:space="preserve">Ten (10) percent of the total number of parking spaces on a building site </w:t>
            </w:r>
            <w:r w:rsidR="00335B58">
              <w:t xml:space="preserve">with a </w:t>
            </w:r>
            <w:r>
              <w:t xml:space="preserve">minimum of </w:t>
            </w:r>
            <w:sdt>
              <w:sdtPr>
                <w:tag w:val="goog_rdk_0"/>
                <w:id w:val="-1336615496"/>
              </w:sdtPr>
              <w:sdtContent/>
            </w:sdt>
            <w:sdt>
              <w:sdtPr>
                <w:tag w:val="goog_rdk_1"/>
                <w:id w:val="898564946"/>
              </w:sdtPr>
              <w:sdtContent/>
            </w:sdt>
            <w:sdt>
              <w:sdtPr>
                <w:tag w:val="goog_rdk_2"/>
                <w:id w:val="-1464110720"/>
              </w:sdtPr>
              <w:sdtContent/>
            </w:sdt>
            <w:sdt>
              <w:sdtPr>
                <w:tag w:val="goog_rdk_3"/>
                <w:id w:val="-1546287526"/>
              </w:sdtPr>
              <w:sdtContent/>
            </w:sdt>
            <w:r w:rsidR="001038A1">
              <w:t>4</w:t>
            </w:r>
            <w:r>
              <w:t xml:space="preserve">0 </w:t>
            </w:r>
            <w:r w:rsidR="001038A1">
              <w:t>(for</w:t>
            </w:r>
            <w:r>
              <w:t xml:space="preserve">ty) spaces provided for all types of parking facilities shall be electric vehicle charging spaces (EV spaces) capable of supporting future EVSE. Electrical load calculations shall demonstrate that the electrical panel service capacity and electrical system, including any on-site distribution transformer(s), have sufficient capacity to simultaneously charge all EVs at all required EV spaces at a minimum of 40 amperes. EV spaces will count toward the total amount of parking spaces. </w:t>
            </w:r>
          </w:p>
          <w:p w14:paraId="0000004C" w14:textId="77777777" w:rsidR="00A06037" w:rsidRDefault="00A06037">
            <w:pPr>
              <w:widowControl w:val="0"/>
              <w:spacing w:line="240" w:lineRule="auto"/>
              <w:rPr>
                <w:highlight w:val="green"/>
              </w:rPr>
            </w:pPr>
          </w:p>
          <w:p w14:paraId="0000004D" w14:textId="2DB3D97F" w:rsidR="00A06037" w:rsidRPr="001038A1" w:rsidRDefault="00000000">
            <w:pPr>
              <w:widowControl w:val="0"/>
              <w:numPr>
                <w:ilvl w:val="0"/>
                <w:numId w:val="2"/>
              </w:numPr>
              <w:spacing w:line="240" w:lineRule="auto"/>
            </w:pPr>
            <w:r w:rsidRPr="001038A1">
              <w:t>The development of EVSE applies to new development and redevelopment when the project requires a permit</w:t>
            </w:r>
            <w:r w:rsidR="001038A1" w:rsidRPr="001038A1">
              <w:t>.</w:t>
            </w:r>
            <w:r w:rsidRPr="001038A1">
              <w:t xml:space="preserve"> </w:t>
            </w:r>
          </w:p>
          <w:p w14:paraId="0000004E" w14:textId="322603BB" w:rsidR="00A06037" w:rsidRPr="001038A1" w:rsidRDefault="000A5A39">
            <w:pPr>
              <w:widowControl w:val="0"/>
              <w:numPr>
                <w:ilvl w:val="0"/>
                <w:numId w:val="2"/>
              </w:numPr>
              <w:spacing w:line="240" w:lineRule="auto"/>
            </w:pPr>
            <w:r>
              <w:lastRenderedPageBreak/>
              <w:t>The following</w:t>
            </w:r>
            <w:r w:rsidRPr="001038A1">
              <w:t xml:space="preserve"> are exempt from the </w:t>
            </w:r>
            <w:r>
              <w:t xml:space="preserve">above </w:t>
            </w:r>
            <w:r w:rsidRPr="001038A1">
              <w:t>requirement</w:t>
            </w:r>
            <w:r>
              <w:t>:</w:t>
            </w:r>
          </w:p>
          <w:p w14:paraId="0000004F" w14:textId="77777777" w:rsidR="00A06037" w:rsidRPr="001038A1" w:rsidRDefault="00000000">
            <w:pPr>
              <w:widowControl w:val="0"/>
              <w:numPr>
                <w:ilvl w:val="1"/>
                <w:numId w:val="2"/>
              </w:numPr>
              <w:spacing w:line="240" w:lineRule="auto"/>
            </w:pPr>
            <w:r w:rsidRPr="001038A1">
              <w:t>Deed-restricted housing</w:t>
            </w:r>
          </w:p>
          <w:p w14:paraId="00000050" w14:textId="77777777" w:rsidR="00A06037" w:rsidRDefault="00A06037">
            <w:pPr>
              <w:widowControl w:val="0"/>
              <w:spacing w:line="240" w:lineRule="auto"/>
            </w:pPr>
          </w:p>
        </w:tc>
        <w:tc>
          <w:tcPr>
            <w:tcW w:w="1710" w:type="dxa"/>
            <w:shd w:val="clear" w:color="auto" w:fill="auto"/>
            <w:tcMar>
              <w:top w:w="100" w:type="dxa"/>
              <w:left w:w="100" w:type="dxa"/>
              <w:bottom w:w="100" w:type="dxa"/>
              <w:right w:w="100" w:type="dxa"/>
            </w:tcMar>
          </w:tcPr>
          <w:p w14:paraId="00000051" w14:textId="7D7608DE" w:rsidR="00A06037" w:rsidRDefault="00000000">
            <w:pPr>
              <w:widowControl w:val="0"/>
              <w:spacing w:line="240" w:lineRule="auto"/>
            </w:pPr>
            <w:r>
              <w:lastRenderedPageBreak/>
              <w:t xml:space="preserve">EV </w:t>
            </w:r>
            <w:r w:rsidR="000213AD">
              <w:t>c</w:t>
            </w:r>
            <w:r>
              <w:t xml:space="preserve">apable language for commercial, multi-family and hotel/motels with more than </w:t>
            </w:r>
            <w:r w:rsidR="001038A1">
              <w:t>4</w:t>
            </w:r>
            <w:r>
              <w:t xml:space="preserve">0 units </w:t>
            </w:r>
          </w:p>
        </w:tc>
        <w:tc>
          <w:tcPr>
            <w:tcW w:w="1980" w:type="dxa"/>
            <w:shd w:val="clear" w:color="auto" w:fill="auto"/>
            <w:tcMar>
              <w:top w:w="100" w:type="dxa"/>
              <w:left w:w="100" w:type="dxa"/>
              <w:bottom w:w="100" w:type="dxa"/>
              <w:right w:w="100" w:type="dxa"/>
            </w:tcMar>
          </w:tcPr>
          <w:p w14:paraId="00000052" w14:textId="77777777" w:rsidR="00A06037" w:rsidRDefault="00000000">
            <w:pPr>
              <w:widowControl w:val="0"/>
              <w:spacing w:line="240" w:lineRule="auto"/>
            </w:pPr>
            <w:r>
              <w:t>Borrowed from Cal Green.</w:t>
            </w:r>
          </w:p>
          <w:p w14:paraId="00000053" w14:textId="77777777" w:rsidR="00A06037" w:rsidRDefault="00A06037">
            <w:pPr>
              <w:widowControl w:val="0"/>
              <w:spacing w:line="240" w:lineRule="auto"/>
            </w:pPr>
          </w:p>
          <w:p w14:paraId="00000054" w14:textId="77777777" w:rsidR="00A06037" w:rsidRDefault="00A06037">
            <w:pPr>
              <w:widowControl w:val="0"/>
              <w:spacing w:line="240" w:lineRule="auto"/>
            </w:pPr>
          </w:p>
        </w:tc>
      </w:tr>
      <w:tr w:rsidR="00A06037" w14:paraId="45A038B8" w14:textId="77777777">
        <w:tc>
          <w:tcPr>
            <w:tcW w:w="1035" w:type="dxa"/>
            <w:shd w:val="clear" w:color="auto" w:fill="auto"/>
            <w:tcMar>
              <w:top w:w="100" w:type="dxa"/>
              <w:left w:w="100" w:type="dxa"/>
              <w:bottom w:w="100" w:type="dxa"/>
              <w:right w:w="100" w:type="dxa"/>
            </w:tcMar>
          </w:tcPr>
          <w:p w14:paraId="00000055" w14:textId="77777777" w:rsidR="00A06037" w:rsidRDefault="00000000">
            <w:pPr>
              <w:widowControl w:val="0"/>
              <w:spacing w:line="240" w:lineRule="auto"/>
            </w:pPr>
            <w:r>
              <w:t>30.4.</w:t>
            </w:r>
            <w:proofErr w:type="gramStart"/>
            <w:r>
              <w:t>6.G</w:t>
            </w:r>
            <w:proofErr w:type="gramEnd"/>
          </w:p>
        </w:tc>
        <w:tc>
          <w:tcPr>
            <w:tcW w:w="8220" w:type="dxa"/>
            <w:shd w:val="clear" w:color="auto" w:fill="auto"/>
            <w:tcMar>
              <w:top w:w="100" w:type="dxa"/>
              <w:left w:w="100" w:type="dxa"/>
              <w:bottom w:w="100" w:type="dxa"/>
              <w:right w:w="100" w:type="dxa"/>
            </w:tcMar>
          </w:tcPr>
          <w:p w14:paraId="00000056" w14:textId="2C9C5DC7" w:rsidR="00A06037" w:rsidRDefault="00000000">
            <w:pPr>
              <w:widowControl w:val="0"/>
              <w:numPr>
                <w:ilvl w:val="0"/>
                <w:numId w:val="1"/>
              </w:numPr>
              <w:spacing w:line="240" w:lineRule="auto"/>
            </w:pPr>
            <w:r>
              <w:t xml:space="preserve">Public Universal EV chargers are exempt from coverage standards regardless of the land use </w:t>
            </w:r>
            <w:proofErr w:type="gramStart"/>
            <w:r>
              <w:t>types</w:t>
            </w:r>
            <w:proofErr w:type="gramEnd"/>
            <w:r>
              <w:t xml:space="preserve"> </w:t>
            </w:r>
            <w:r w:rsidRPr="001038A1">
              <w:t>unless located in a stream environment zone</w:t>
            </w:r>
            <w:r w:rsidR="001038A1">
              <w:t xml:space="preserve"> (SEZ)</w:t>
            </w:r>
            <w:r>
              <w:t>.</w:t>
            </w:r>
          </w:p>
          <w:p w14:paraId="00000057" w14:textId="31BE3760" w:rsidR="00A06037" w:rsidRDefault="00000000">
            <w:pPr>
              <w:widowControl w:val="0"/>
              <w:numPr>
                <w:ilvl w:val="0"/>
                <w:numId w:val="1"/>
              </w:numPr>
              <w:spacing w:line="240" w:lineRule="auto"/>
            </w:pPr>
            <w:r>
              <w:t xml:space="preserve">Public Universal EV chargers are exempt from coverage standards given there are less than 5 chargers within a parcel, regardless of the land use type. </w:t>
            </w:r>
            <w:r w:rsidR="000A5A39">
              <w:t>The coverage exemption for each EV charger will be equal to</w:t>
            </w:r>
            <w:r>
              <w:t xml:space="preserve"> </w:t>
            </w:r>
            <w:r w:rsidR="00AF717E">
              <w:t xml:space="preserve">or less than </w:t>
            </w:r>
            <w:r>
              <w:t>the average footprint of a level 2 charger or DC fast charger</w:t>
            </w:r>
            <w:r w:rsidR="000668BB">
              <w:t>, or 2 square feet per charger, whichever is less</w:t>
            </w:r>
            <w:r>
              <w:t xml:space="preserve">. </w:t>
            </w:r>
          </w:p>
        </w:tc>
        <w:tc>
          <w:tcPr>
            <w:tcW w:w="1710" w:type="dxa"/>
            <w:shd w:val="clear" w:color="auto" w:fill="auto"/>
            <w:tcMar>
              <w:top w:w="100" w:type="dxa"/>
              <w:left w:w="100" w:type="dxa"/>
              <w:bottom w:w="100" w:type="dxa"/>
              <w:right w:w="100" w:type="dxa"/>
            </w:tcMar>
          </w:tcPr>
          <w:p w14:paraId="00000058" w14:textId="343F28A8" w:rsidR="00A06037" w:rsidRDefault="000213AD">
            <w:pPr>
              <w:widowControl w:val="0"/>
              <w:spacing w:line="240" w:lineRule="auto"/>
            </w:pPr>
            <w:r>
              <w:t>Coverage approach</w:t>
            </w:r>
          </w:p>
        </w:tc>
        <w:tc>
          <w:tcPr>
            <w:tcW w:w="1980" w:type="dxa"/>
            <w:shd w:val="clear" w:color="auto" w:fill="auto"/>
            <w:tcMar>
              <w:top w:w="100" w:type="dxa"/>
              <w:left w:w="100" w:type="dxa"/>
              <w:bottom w:w="100" w:type="dxa"/>
              <w:right w:w="100" w:type="dxa"/>
            </w:tcMar>
          </w:tcPr>
          <w:p w14:paraId="00000059" w14:textId="77777777" w:rsidR="00A06037" w:rsidRDefault="00A06037">
            <w:pPr>
              <w:widowControl w:val="0"/>
              <w:spacing w:line="240" w:lineRule="auto"/>
            </w:pPr>
          </w:p>
        </w:tc>
      </w:tr>
    </w:tbl>
    <w:p w14:paraId="0000005A" w14:textId="77777777" w:rsidR="00A06037" w:rsidRDefault="00A06037"/>
    <w:p w14:paraId="0000005B" w14:textId="77777777" w:rsidR="00A06037" w:rsidRDefault="00A06037"/>
    <w:p w14:paraId="0000005C" w14:textId="77777777" w:rsidR="00A06037" w:rsidRDefault="00000000">
      <w:pPr>
        <w:rPr>
          <w:b/>
        </w:rPr>
      </w:pPr>
      <w:r>
        <w:br w:type="page"/>
      </w:r>
    </w:p>
    <w:p w14:paraId="0000005D" w14:textId="1AA08943" w:rsidR="00A06037" w:rsidRDefault="00695F72">
      <w:pPr>
        <w:rPr>
          <w:b/>
        </w:rPr>
      </w:pPr>
      <w:bookmarkStart w:id="1" w:name="bookmark=id.1fob9te" w:colFirst="0" w:colLast="0"/>
      <w:bookmarkEnd w:id="1"/>
      <w:r>
        <w:rPr>
          <w:b/>
        </w:rPr>
        <w:lastRenderedPageBreak/>
        <w:t>Solar energy generation</w:t>
      </w:r>
    </w:p>
    <w:tbl>
      <w:tblPr>
        <w:tblStyle w:val="a5"/>
        <w:tblW w:w="128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6870"/>
        <w:gridCol w:w="2550"/>
        <w:gridCol w:w="2205"/>
      </w:tblGrid>
      <w:tr w:rsidR="00A06037" w14:paraId="2EACB4B9" w14:textId="77777777">
        <w:tc>
          <w:tcPr>
            <w:tcW w:w="1260" w:type="dxa"/>
            <w:shd w:val="clear" w:color="auto" w:fill="auto"/>
            <w:tcMar>
              <w:top w:w="100" w:type="dxa"/>
              <w:left w:w="100" w:type="dxa"/>
              <w:bottom w:w="100" w:type="dxa"/>
              <w:right w:w="100" w:type="dxa"/>
            </w:tcMar>
          </w:tcPr>
          <w:p w14:paraId="0000005E" w14:textId="77777777" w:rsidR="00A06037" w:rsidRDefault="00000000">
            <w:pPr>
              <w:widowControl w:val="0"/>
              <w:spacing w:line="240" w:lineRule="auto"/>
            </w:pPr>
            <w:r>
              <w:t>Code</w:t>
            </w:r>
          </w:p>
        </w:tc>
        <w:tc>
          <w:tcPr>
            <w:tcW w:w="6870" w:type="dxa"/>
            <w:shd w:val="clear" w:color="auto" w:fill="auto"/>
            <w:tcMar>
              <w:top w:w="100" w:type="dxa"/>
              <w:left w:w="100" w:type="dxa"/>
              <w:bottom w:w="100" w:type="dxa"/>
              <w:right w:w="100" w:type="dxa"/>
            </w:tcMar>
          </w:tcPr>
          <w:p w14:paraId="0000005F" w14:textId="77777777" w:rsidR="00A06037" w:rsidRDefault="00000000">
            <w:pPr>
              <w:widowControl w:val="0"/>
              <w:spacing w:line="240" w:lineRule="auto"/>
            </w:pPr>
            <w:r>
              <w:t>Draft language</w:t>
            </w:r>
          </w:p>
        </w:tc>
        <w:tc>
          <w:tcPr>
            <w:tcW w:w="2550" w:type="dxa"/>
            <w:shd w:val="clear" w:color="auto" w:fill="auto"/>
            <w:tcMar>
              <w:top w:w="100" w:type="dxa"/>
              <w:left w:w="100" w:type="dxa"/>
              <w:bottom w:w="100" w:type="dxa"/>
              <w:right w:w="100" w:type="dxa"/>
            </w:tcMar>
          </w:tcPr>
          <w:p w14:paraId="00000060" w14:textId="77777777" w:rsidR="00A06037" w:rsidRDefault="00000000">
            <w:pPr>
              <w:widowControl w:val="0"/>
              <w:spacing w:line="240" w:lineRule="auto"/>
            </w:pPr>
            <w:r>
              <w:t>Approach</w:t>
            </w:r>
          </w:p>
        </w:tc>
        <w:tc>
          <w:tcPr>
            <w:tcW w:w="2205" w:type="dxa"/>
            <w:shd w:val="clear" w:color="auto" w:fill="auto"/>
            <w:tcMar>
              <w:top w:w="100" w:type="dxa"/>
              <w:left w:w="100" w:type="dxa"/>
              <w:bottom w:w="100" w:type="dxa"/>
              <w:right w:w="100" w:type="dxa"/>
            </w:tcMar>
          </w:tcPr>
          <w:p w14:paraId="00000061" w14:textId="77777777" w:rsidR="00A06037" w:rsidRDefault="00000000">
            <w:pPr>
              <w:widowControl w:val="0"/>
              <w:spacing w:line="240" w:lineRule="auto"/>
            </w:pPr>
            <w:r>
              <w:t>Notes</w:t>
            </w:r>
          </w:p>
        </w:tc>
      </w:tr>
      <w:tr w:rsidR="00A06037" w14:paraId="329DFACB" w14:textId="77777777">
        <w:tc>
          <w:tcPr>
            <w:tcW w:w="1260" w:type="dxa"/>
            <w:shd w:val="clear" w:color="auto" w:fill="auto"/>
            <w:tcMar>
              <w:top w:w="100" w:type="dxa"/>
              <w:left w:w="100" w:type="dxa"/>
              <w:bottom w:w="100" w:type="dxa"/>
              <w:right w:w="100" w:type="dxa"/>
            </w:tcMar>
          </w:tcPr>
          <w:p w14:paraId="00000062" w14:textId="77777777" w:rsidR="00A06037" w:rsidRDefault="00000000">
            <w:pPr>
              <w:widowControl w:val="0"/>
              <w:spacing w:line="240" w:lineRule="auto"/>
            </w:pPr>
            <w:r>
              <w:t>90</w:t>
            </w:r>
          </w:p>
        </w:tc>
        <w:tc>
          <w:tcPr>
            <w:tcW w:w="6870" w:type="dxa"/>
            <w:shd w:val="clear" w:color="auto" w:fill="auto"/>
            <w:tcMar>
              <w:top w:w="100" w:type="dxa"/>
              <w:left w:w="100" w:type="dxa"/>
              <w:bottom w:w="100" w:type="dxa"/>
              <w:right w:w="100" w:type="dxa"/>
            </w:tcMar>
          </w:tcPr>
          <w:p w14:paraId="00000063" w14:textId="77777777" w:rsidR="00A06037" w:rsidRDefault="00000000">
            <w:pPr>
              <w:widowControl w:val="0"/>
              <w:spacing w:line="240" w:lineRule="auto"/>
            </w:pPr>
            <w:r>
              <w:t>Definitions</w:t>
            </w:r>
          </w:p>
          <w:p w14:paraId="00000064" w14:textId="7607802E" w:rsidR="00A06037" w:rsidRDefault="00000000">
            <w:pPr>
              <w:widowControl w:val="0"/>
              <w:spacing w:line="240" w:lineRule="auto"/>
            </w:pPr>
            <w:r>
              <w:t>“</w:t>
            </w:r>
            <w:r>
              <w:rPr>
                <w:b/>
              </w:rPr>
              <w:t>Solar energy system</w:t>
            </w:r>
            <w:r>
              <w:t>” means any solar collector or other solar energy device or any structural design feature of a building whose primary purpose is to provide for the collection, storage, and distribution of solar energy for space heating, space cooling, electric generation, or water heating.</w:t>
            </w:r>
          </w:p>
          <w:p w14:paraId="00000065" w14:textId="77777777" w:rsidR="00A06037" w:rsidRDefault="00A06037">
            <w:pPr>
              <w:widowControl w:val="0"/>
              <w:spacing w:line="240" w:lineRule="auto"/>
            </w:pPr>
          </w:p>
          <w:p w14:paraId="00000066" w14:textId="77777777" w:rsidR="00A06037" w:rsidRDefault="00000000">
            <w:pPr>
              <w:widowControl w:val="0"/>
              <w:spacing w:line="240" w:lineRule="auto"/>
            </w:pPr>
            <w:r>
              <w:t>“</w:t>
            </w:r>
            <w:r>
              <w:rPr>
                <w:b/>
              </w:rPr>
              <w:t>Solar Collector</w:t>
            </w:r>
            <w:r>
              <w:t xml:space="preserve">” means a device, structure or a part of a device or structure for which the primary purpose is to transform solar radiant energy into thermal, mechanical, chemical, or electrical energy. </w:t>
            </w:r>
          </w:p>
          <w:p w14:paraId="00000067" w14:textId="77777777" w:rsidR="00A06037" w:rsidRDefault="00A06037">
            <w:pPr>
              <w:widowControl w:val="0"/>
              <w:spacing w:line="240" w:lineRule="auto"/>
            </w:pPr>
          </w:p>
          <w:p w14:paraId="00000068" w14:textId="77777777" w:rsidR="00A06037" w:rsidRDefault="00000000">
            <w:pPr>
              <w:widowControl w:val="0"/>
              <w:spacing w:line="240" w:lineRule="auto"/>
            </w:pPr>
            <w:r>
              <w:rPr>
                <w:b/>
              </w:rPr>
              <w:t xml:space="preserve">“Photovoltaic (PV) Systems” </w:t>
            </w:r>
            <w:r>
              <w:t>means an active solar energy system that converts solar energy directly into electricity. See also “Solar Panel.”</w:t>
            </w:r>
          </w:p>
          <w:p w14:paraId="00000069" w14:textId="77777777" w:rsidR="00A06037" w:rsidRDefault="00A06037">
            <w:pPr>
              <w:widowControl w:val="0"/>
              <w:spacing w:line="240" w:lineRule="auto"/>
            </w:pPr>
          </w:p>
          <w:p w14:paraId="0000006A" w14:textId="77777777" w:rsidR="00A06037" w:rsidRDefault="00000000">
            <w:pPr>
              <w:widowControl w:val="0"/>
              <w:spacing w:line="240" w:lineRule="auto"/>
            </w:pPr>
            <w:r>
              <w:t>“</w:t>
            </w:r>
            <w:r>
              <w:rPr>
                <w:b/>
              </w:rPr>
              <w:t>Active solar energy system</w:t>
            </w:r>
            <w:r>
              <w:t>” means a solar energy system whose primary purpose is to harvest energy by transforming solar energy into another form of energy or transferring heat from a solar collector to another medium using mechanical, electrical, or chemical means.</w:t>
            </w:r>
          </w:p>
          <w:p w14:paraId="0000006B" w14:textId="77777777" w:rsidR="00A06037" w:rsidRDefault="00A06037">
            <w:pPr>
              <w:widowControl w:val="0"/>
              <w:spacing w:line="240" w:lineRule="auto"/>
            </w:pPr>
          </w:p>
          <w:p w14:paraId="0000006C" w14:textId="77777777" w:rsidR="00A06037" w:rsidRDefault="00000000">
            <w:pPr>
              <w:widowControl w:val="0"/>
              <w:spacing w:line="240" w:lineRule="auto"/>
            </w:pPr>
            <w:r>
              <w:t>“</w:t>
            </w:r>
            <w:r>
              <w:rPr>
                <w:b/>
              </w:rPr>
              <w:t>Passive solar energy system</w:t>
            </w:r>
            <w:r>
              <w:t>” means a solar energy system that captures solar light or heat without transforming it to another form of energy or transferring the energy via a heat exchanger. Examples of passive solar may include skylights or passive solar water heating systems such as flat-plate collectors.</w:t>
            </w:r>
          </w:p>
          <w:p w14:paraId="0000006D" w14:textId="77777777" w:rsidR="00A06037" w:rsidRDefault="00A06037">
            <w:pPr>
              <w:widowControl w:val="0"/>
              <w:spacing w:line="240" w:lineRule="auto"/>
            </w:pPr>
          </w:p>
          <w:p w14:paraId="0000006E" w14:textId="77777777" w:rsidR="00A06037" w:rsidRDefault="00000000">
            <w:pPr>
              <w:widowControl w:val="0"/>
              <w:spacing w:line="240" w:lineRule="auto"/>
            </w:pPr>
            <w:r>
              <w:t>“</w:t>
            </w:r>
            <w:r>
              <w:rPr>
                <w:b/>
              </w:rPr>
              <w:t>Solar Mounting Devices</w:t>
            </w:r>
            <w:r>
              <w:t>” means racking, frames, or other devices that allow the mounting of a solar collector onto a roof surface or the ground.</w:t>
            </w:r>
          </w:p>
          <w:p w14:paraId="0000006F" w14:textId="77777777" w:rsidR="00A06037" w:rsidRDefault="00A06037">
            <w:pPr>
              <w:widowControl w:val="0"/>
              <w:spacing w:line="240" w:lineRule="auto"/>
            </w:pPr>
          </w:p>
          <w:p w14:paraId="00000070" w14:textId="77777777" w:rsidR="00A06037" w:rsidRDefault="00000000">
            <w:pPr>
              <w:widowControl w:val="0"/>
              <w:spacing w:line="240" w:lineRule="auto"/>
            </w:pPr>
            <w:r>
              <w:t>“</w:t>
            </w:r>
            <w:r>
              <w:rPr>
                <w:b/>
              </w:rPr>
              <w:t>Solar Reflectivity</w:t>
            </w:r>
            <w:r>
              <w:t>” is the ability of a material to reflect solar energy from its surface back into the atmosphere</w:t>
            </w:r>
          </w:p>
        </w:tc>
        <w:tc>
          <w:tcPr>
            <w:tcW w:w="2550" w:type="dxa"/>
            <w:shd w:val="clear" w:color="auto" w:fill="auto"/>
            <w:tcMar>
              <w:top w:w="100" w:type="dxa"/>
              <w:left w:w="100" w:type="dxa"/>
              <w:bottom w:w="100" w:type="dxa"/>
              <w:right w:w="100" w:type="dxa"/>
            </w:tcMar>
          </w:tcPr>
          <w:p w14:paraId="00000071" w14:textId="77777777" w:rsidR="00A06037" w:rsidRDefault="00000000">
            <w:pPr>
              <w:widowControl w:val="0"/>
              <w:spacing w:line="240" w:lineRule="auto"/>
            </w:pPr>
            <w:r>
              <w:t>Define solar panels (PV) and related energy storage equipment, passive solar</w:t>
            </w:r>
          </w:p>
        </w:tc>
        <w:tc>
          <w:tcPr>
            <w:tcW w:w="2205" w:type="dxa"/>
            <w:shd w:val="clear" w:color="auto" w:fill="auto"/>
            <w:tcMar>
              <w:top w:w="100" w:type="dxa"/>
              <w:left w:w="100" w:type="dxa"/>
              <w:bottom w:w="100" w:type="dxa"/>
              <w:right w:w="100" w:type="dxa"/>
            </w:tcMar>
          </w:tcPr>
          <w:p w14:paraId="00000072" w14:textId="77777777" w:rsidR="00A06037" w:rsidRDefault="00000000">
            <w:pPr>
              <w:widowControl w:val="0"/>
              <w:spacing w:line="240" w:lineRule="auto"/>
            </w:pPr>
            <w:r>
              <w:t xml:space="preserve"> </w:t>
            </w:r>
          </w:p>
        </w:tc>
      </w:tr>
      <w:tr w:rsidR="00A06037" w14:paraId="356B7C08" w14:textId="77777777">
        <w:tc>
          <w:tcPr>
            <w:tcW w:w="1260" w:type="dxa"/>
            <w:shd w:val="clear" w:color="auto" w:fill="auto"/>
            <w:tcMar>
              <w:top w:w="100" w:type="dxa"/>
              <w:left w:w="100" w:type="dxa"/>
              <w:bottom w:w="100" w:type="dxa"/>
              <w:right w:w="100" w:type="dxa"/>
            </w:tcMar>
          </w:tcPr>
          <w:p w14:paraId="00000073" w14:textId="77777777" w:rsidR="00A06037" w:rsidRDefault="00000000">
            <w:pPr>
              <w:widowControl w:val="0"/>
              <w:spacing w:line="240" w:lineRule="auto"/>
            </w:pPr>
            <w:r>
              <w:lastRenderedPageBreak/>
              <w:t>2.3.</w:t>
            </w:r>
            <w:proofErr w:type="gramStart"/>
            <w:r>
              <w:t>6.A.</w:t>
            </w:r>
            <w:proofErr w:type="gramEnd"/>
            <w:r>
              <w:t>12.</w:t>
            </w:r>
          </w:p>
        </w:tc>
        <w:tc>
          <w:tcPr>
            <w:tcW w:w="6870" w:type="dxa"/>
            <w:shd w:val="clear" w:color="auto" w:fill="auto"/>
            <w:tcMar>
              <w:top w:w="100" w:type="dxa"/>
              <w:left w:w="100" w:type="dxa"/>
              <w:bottom w:w="100" w:type="dxa"/>
              <w:right w:w="100" w:type="dxa"/>
            </w:tcMar>
          </w:tcPr>
          <w:p w14:paraId="00000074" w14:textId="77777777" w:rsidR="00A06037" w:rsidRDefault="00000000">
            <w:pPr>
              <w:widowControl w:val="0"/>
              <w:spacing w:line="240" w:lineRule="auto"/>
              <w:rPr>
                <w:b/>
              </w:rPr>
            </w:pPr>
            <w:sdt>
              <w:sdtPr>
                <w:tag w:val="goog_rdk_4"/>
                <w:id w:val="-480930329"/>
              </w:sdtPr>
              <w:sdtContent/>
            </w:sdt>
            <w:sdt>
              <w:sdtPr>
                <w:tag w:val="goog_rdk_5"/>
                <w:id w:val="539011386"/>
              </w:sdtPr>
              <w:sdtContent/>
            </w:sdt>
            <w:sdt>
              <w:sdtPr>
                <w:tag w:val="goog_rdk_6"/>
                <w:id w:val="-2032412386"/>
              </w:sdtPr>
              <w:sdtContent/>
            </w:sdt>
            <w:r>
              <w:rPr>
                <w:b/>
              </w:rPr>
              <w:t>Installation of Roof-mounted PV Systems</w:t>
            </w:r>
          </w:p>
          <w:p w14:paraId="00000075" w14:textId="77777777" w:rsidR="00A06037" w:rsidRDefault="00000000">
            <w:pPr>
              <w:widowControl w:val="0"/>
              <w:spacing w:line="240" w:lineRule="auto"/>
            </w:pPr>
            <w:r>
              <w:t>The installation of Photovoltaic (PV) systems on the rooftops of existing structures provided:</w:t>
            </w:r>
          </w:p>
          <w:p w14:paraId="00000076" w14:textId="77777777" w:rsidR="00A06037" w:rsidRDefault="00000000">
            <w:pPr>
              <w:widowControl w:val="0"/>
              <w:numPr>
                <w:ilvl w:val="0"/>
                <w:numId w:val="5"/>
              </w:numPr>
              <w:spacing w:line="240" w:lineRule="auto"/>
            </w:pPr>
            <w:r>
              <w:t xml:space="preserve">Solar mounting devices do not extend beyond the rooftop perimeter and do not intrude into setback standards established in </w:t>
            </w:r>
            <w:proofErr w:type="gramStart"/>
            <w:r>
              <w:t>36.5.4</w:t>
            </w:r>
            <w:proofErr w:type="gramEnd"/>
          </w:p>
          <w:p w14:paraId="00000077" w14:textId="77777777" w:rsidR="00A06037" w:rsidRDefault="00000000">
            <w:pPr>
              <w:widowControl w:val="0"/>
              <w:numPr>
                <w:ilvl w:val="0"/>
                <w:numId w:val="5"/>
              </w:numPr>
              <w:spacing w:line="240" w:lineRule="auto"/>
            </w:pPr>
            <w:r>
              <w:t>Structure does not create height greater than that allowed by Table 37.4.1-1 and exception 37.4.3.A</w:t>
            </w:r>
          </w:p>
          <w:p w14:paraId="00000078" w14:textId="78E59B98" w:rsidR="00A06037" w:rsidRDefault="00000000">
            <w:pPr>
              <w:widowControl w:val="0"/>
              <w:numPr>
                <w:ilvl w:val="0"/>
                <w:numId w:val="5"/>
              </w:numPr>
              <w:spacing w:line="240" w:lineRule="auto"/>
            </w:pPr>
            <w:r>
              <w:t xml:space="preserve">If the structure is located inside of a Scenic Travel Corridor, the Shoreland, or visible from Lake Tahoe, then </w:t>
            </w:r>
            <w:r w:rsidR="00AF717E">
              <w:t>s</w:t>
            </w:r>
            <w:r>
              <w:t xml:space="preserve">olar </w:t>
            </w:r>
            <w:r w:rsidR="00AF717E">
              <w:t>p</w:t>
            </w:r>
            <w:r>
              <w:t xml:space="preserve">anels </w:t>
            </w:r>
            <w:r w:rsidR="001038A1">
              <w:t>shall be</w:t>
            </w:r>
            <w:r>
              <w:t xml:space="preserve"> constructed of non-reflective materials to minimize glare</w:t>
            </w:r>
          </w:p>
        </w:tc>
        <w:tc>
          <w:tcPr>
            <w:tcW w:w="2550" w:type="dxa"/>
            <w:shd w:val="clear" w:color="auto" w:fill="auto"/>
            <w:tcMar>
              <w:top w:w="100" w:type="dxa"/>
              <w:left w:w="100" w:type="dxa"/>
              <w:bottom w:w="100" w:type="dxa"/>
              <w:right w:w="100" w:type="dxa"/>
            </w:tcMar>
          </w:tcPr>
          <w:p w14:paraId="00000079" w14:textId="7D1791D0" w:rsidR="00A06037" w:rsidRDefault="00000000">
            <w:pPr>
              <w:widowControl w:val="0"/>
              <w:spacing w:line="240" w:lineRule="auto"/>
            </w:pPr>
            <w:r>
              <w:t>Qualified exemption for rooftop solar energy systems</w:t>
            </w:r>
            <w:r w:rsidR="001038A1">
              <w:t xml:space="preserve">. Require </w:t>
            </w:r>
            <w:r w:rsidR="000A5A39">
              <w:t>predictable</w:t>
            </w:r>
            <w:r w:rsidR="001038A1">
              <w:t xml:space="preserve"> scenic threshold standards when in </w:t>
            </w:r>
            <w:r w:rsidR="000A5A39">
              <w:t>s</w:t>
            </w:r>
            <w:r w:rsidR="001038A1">
              <w:t xml:space="preserve">cenic threshold travel routes and shoreland.   </w:t>
            </w:r>
          </w:p>
        </w:tc>
        <w:tc>
          <w:tcPr>
            <w:tcW w:w="2205" w:type="dxa"/>
            <w:shd w:val="clear" w:color="auto" w:fill="auto"/>
            <w:tcMar>
              <w:top w:w="100" w:type="dxa"/>
              <w:left w:w="100" w:type="dxa"/>
              <w:bottom w:w="100" w:type="dxa"/>
              <w:right w:w="100" w:type="dxa"/>
            </w:tcMar>
          </w:tcPr>
          <w:p w14:paraId="0000007A" w14:textId="1B8F0C9C" w:rsidR="00A06037" w:rsidRDefault="00000000">
            <w:pPr>
              <w:widowControl w:val="0"/>
              <w:spacing w:line="240" w:lineRule="auto"/>
            </w:pPr>
            <w:r>
              <w:t>Qualified exempt if it is outside of scenic corridors, otherwise, we point to the building standards with specifications for nonreflective materials.</w:t>
            </w:r>
            <w:r w:rsidR="001038A1">
              <w:t xml:space="preserve"> </w:t>
            </w:r>
            <w:hyperlink r:id="rId8">
              <w:r w:rsidR="001351EE">
                <w:rPr>
                  <w:color w:val="1155CC"/>
                  <w:u w:val="single"/>
                </w:rPr>
                <w:t xml:space="preserve">Solar </w:t>
              </w:r>
              <w:r w:rsidR="00AF717E">
                <w:rPr>
                  <w:color w:val="1155CC"/>
                  <w:u w:val="single"/>
                </w:rPr>
                <w:t>p</w:t>
              </w:r>
              <w:r w:rsidR="001351EE">
                <w:rPr>
                  <w:color w:val="1155CC"/>
                  <w:u w:val="single"/>
                </w:rPr>
                <w:t>anel material can significantly reduce reflectivity</w:t>
              </w:r>
            </w:hyperlink>
            <w:r w:rsidR="001351EE">
              <w:t>.</w:t>
            </w:r>
          </w:p>
        </w:tc>
      </w:tr>
      <w:tr w:rsidR="00A06037" w14:paraId="07B78EDE" w14:textId="77777777">
        <w:tc>
          <w:tcPr>
            <w:tcW w:w="1260" w:type="dxa"/>
            <w:tcMar>
              <w:top w:w="100" w:type="dxa"/>
              <w:left w:w="100" w:type="dxa"/>
              <w:bottom w:w="100" w:type="dxa"/>
              <w:right w:w="100" w:type="dxa"/>
            </w:tcMar>
          </w:tcPr>
          <w:p w14:paraId="0000007B" w14:textId="77777777" w:rsidR="00A06037" w:rsidRDefault="00000000">
            <w:pPr>
              <w:widowControl w:val="0"/>
              <w:spacing w:line="240" w:lineRule="auto"/>
            </w:pPr>
            <w:sdt>
              <w:sdtPr>
                <w:tag w:val="goog_rdk_7"/>
                <w:id w:val="-284974168"/>
              </w:sdtPr>
              <w:sdtContent/>
            </w:sdt>
            <w:sdt>
              <w:sdtPr>
                <w:tag w:val="goog_rdk_8"/>
                <w:id w:val="-1159064719"/>
              </w:sdtPr>
              <w:sdtContent/>
            </w:sdt>
            <w:r>
              <w:t>21.3.1</w:t>
            </w:r>
          </w:p>
        </w:tc>
        <w:tc>
          <w:tcPr>
            <w:tcW w:w="6870" w:type="dxa"/>
            <w:tcMar>
              <w:top w:w="100" w:type="dxa"/>
              <w:left w:w="100" w:type="dxa"/>
              <w:bottom w:w="100" w:type="dxa"/>
              <w:right w:w="100" w:type="dxa"/>
            </w:tcMar>
          </w:tcPr>
          <w:p w14:paraId="0000007C" w14:textId="15C31556" w:rsidR="00A06037" w:rsidRDefault="00000000">
            <w:pPr>
              <w:widowControl w:val="0"/>
              <w:spacing w:line="240" w:lineRule="auto"/>
            </w:pPr>
            <w:r>
              <w:t xml:space="preserve">A. Accessory uses such as garages, green houses, homeowner association offices, art studios, workshops, swimming pools, storage structures, tennis courts, dog runs, emergency facilities, hope occupations, accessory dwelling units, </w:t>
            </w:r>
            <w:r w:rsidR="00AF717E">
              <w:t>s</w:t>
            </w:r>
            <w:r>
              <w:rPr>
                <w:b/>
              </w:rPr>
              <w:t xml:space="preserve">olar </w:t>
            </w:r>
            <w:r w:rsidR="00AF717E">
              <w:rPr>
                <w:b/>
              </w:rPr>
              <w:t>e</w:t>
            </w:r>
            <w:r>
              <w:rPr>
                <w:b/>
              </w:rPr>
              <w:t xml:space="preserve">nergy </w:t>
            </w:r>
            <w:r w:rsidR="00AF717E">
              <w:rPr>
                <w:b/>
              </w:rPr>
              <w:t>s</w:t>
            </w:r>
            <w:r>
              <w:rPr>
                <w:b/>
              </w:rPr>
              <w:t>ystems,</w:t>
            </w:r>
            <w:r>
              <w:t xml:space="preserve"> and other uses listed in the definition of a “primary use” as accessory. </w:t>
            </w:r>
          </w:p>
          <w:p w14:paraId="0000007D" w14:textId="77777777" w:rsidR="00A06037" w:rsidRDefault="00A06037">
            <w:pPr>
              <w:widowControl w:val="0"/>
              <w:spacing w:line="240" w:lineRule="auto"/>
            </w:pPr>
          </w:p>
          <w:p w14:paraId="0000007E" w14:textId="32498AB6" w:rsidR="00A06037" w:rsidRDefault="00000000">
            <w:pPr>
              <w:widowControl w:val="0"/>
              <w:spacing w:line="240" w:lineRule="auto"/>
            </w:pPr>
            <w:r>
              <w:t xml:space="preserve">B. Accessory uses such as garages, parking lots, swimming pools, tennis courts, bars and restaurants, equipment rental, maintenance facilities, laundries, gymnasiums, coin operated amusements, meeting rooms, managers quarters, childcare facilities, emergency facilities, employee facilities other than housing, accessory dwelling units, restricted gaming (Nevada only), </w:t>
            </w:r>
            <w:r w:rsidR="00AF717E">
              <w:t>s</w:t>
            </w:r>
            <w:r>
              <w:rPr>
                <w:b/>
              </w:rPr>
              <w:t xml:space="preserve">olar </w:t>
            </w:r>
            <w:r w:rsidR="00AF717E">
              <w:rPr>
                <w:b/>
              </w:rPr>
              <w:t>e</w:t>
            </w:r>
            <w:r>
              <w:rPr>
                <w:b/>
              </w:rPr>
              <w:t xml:space="preserve">nergy </w:t>
            </w:r>
            <w:r w:rsidR="00AF717E">
              <w:rPr>
                <w:b/>
              </w:rPr>
              <w:t>s</w:t>
            </w:r>
            <w:r>
              <w:rPr>
                <w:b/>
              </w:rPr>
              <w:t xml:space="preserve">ystems, </w:t>
            </w:r>
            <w:r>
              <w:t>and other uses listed in the definition of a “primary use” as accessory.</w:t>
            </w:r>
          </w:p>
          <w:p w14:paraId="0000007F" w14:textId="77777777" w:rsidR="00A06037" w:rsidRDefault="00A06037">
            <w:pPr>
              <w:widowControl w:val="0"/>
              <w:spacing w:line="240" w:lineRule="auto"/>
            </w:pPr>
          </w:p>
          <w:p w14:paraId="00000080" w14:textId="31CFD334" w:rsidR="00A06037" w:rsidRDefault="00000000">
            <w:pPr>
              <w:widowControl w:val="0"/>
              <w:spacing w:line="240" w:lineRule="auto"/>
            </w:pPr>
            <w:r>
              <w:t xml:space="preserve">C. Accessory uses such as garages, parking lots, emergency facilities, maintenance facilities, employee facilities other than housing, accessory dwelling units, restricted gaming (Nevada only), storage buildings, </w:t>
            </w:r>
            <w:r w:rsidR="00AF717E">
              <w:t>s</w:t>
            </w:r>
            <w:r>
              <w:rPr>
                <w:b/>
              </w:rPr>
              <w:t xml:space="preserve">olar </w:t>
            </w:r>
            <w:r w:rsidR="00AF717E">
              <w:rPr>
                <w:b/>
              </w:rPr>
              <w:t>e</w:t>
            </w:r>
            <w:r>
              <w:rPr>
                <w:b/>
              </w:rPr>
              <w:t xml:space="preserve">nergy </w:t>
            </w:r>
            <w:r w:rsidR="00AF717E">
              <w:rPr>
                <w:b/>
              </w:rPr>
              <w:t>s</w:t>
            </w:r>
            <w:r>
              <w:rPr>
                <w:b/>
              </w:rPr>
              <w:t>ystems</w:t>
            </w:r>
            <w:r>
              <w:t xml:space="preserve">, and other uses listed in the definition of a “primary use” as accessory. </w:t>
            </w:r>
          </w:p>
          <w:p w14:paraId="00000081" w14:textId="77777777" w:rsidR="00A06037" w:rsidRDefault="00A06037">
            <w:pPr>
              <w:widowControl w:val="0"/>
              <w:spacing w:line="240" w:lineRule="auto"/>
            </w:pPr>
          </w:p>
          <w:p w14:paraId="00000082" w14:textId="777BC87A" w:rsidR="00A06037" w:rsidRDefault="00000000">
            <w:pPr>
              <w:widowControl w:val="0"/>
              <w:spacing w:line="240" w:lineRule="auto"/>
            </w:pPr>
            <w:r>
              <w:t xml:space="preserve">D. Accessory uses such as garages, accessory dwelling units, </w:t>
            </w:r>
            <w:r w:rsidR="00AF717E">
              <w:t>s</w:t>
            </w:r>
            <w:r>
              <w:rPr>
                <w:b/>
              </w:rPr>
              <w:t xml:space="preserve">olar </w:t>
            </w:r>
            <w:r w:rsidR="000213AD">
              <w:rPr>
                <w:b/>
              </w:rPr>
              <w:t>e</w:t>
            </w:r>
            <w:r>
              <w:rPr>
                <w:b/>
              </w:rPr>
              <w:t xml:space="preserve">nergy </w:t>
            </w:r>
            <w:r w:rsidR="000213AD">
              <w:rPr>
                <w:b/>
              </w:rPr>
              <w:t>s</w:t>
            </w:r>
            <w:r>
              <w:rPr>
                <w:b/>
              </w:rPr>
              <w:t>ystems</w:t>
            </w:r>
            <w:r>
              <w:t>, and emergency facilities.</w:t>
            </w:r>
          </w:p>
          <w:p w14:paraId="00000083" w14:textId="77777777" w:rsidR="00A06037" w:rsidRDefault="00A06037">
            <w:pPr>
              <w:widowControl w:val="0"/>
              <w:spacing w:line="240" w:lineRule="auto"/>
            </w:pPr>
          </w:p>
          <w:p w14:paraId="00000084" w14:textId="6333F3E1" w:rsidR="00A06037" w:rsidRDefault="00000000">
            <w:pPr>
              <w:widowControl w:val="0"/>
              <w:spacing w:line="240" w:lineRule="auto"/>
            </w:pPr>
            <w:r>
              <w:lastRenderedPageBreak/>
              <w:t xml:space="preserve">E. Accessory uses such as garages, emergency facilities, </w:t>
            </w:r>
            <w:r w:rsidR="008D436A">
              <w:t>childcare</w:t>
            </w:r>
            <w:r>
              <w:t xml:space="preserve">, related commercial sales and services such as ski shops, pro shops, marine sales and repairs, parking lots, maintenance facilities, swimming pools, tennis courts, employee facilities other than housing, accessory dwelling units, outdoor recreation concessions, bars and restaurants, </w:t>
            </w:r>
            <w:r w:rsidR="000213AD">
              <w:t>s</w:t>
            </w:r>
            <w:r>
              <w:rPr>
                <w:b/>
              </w:rPr>
              <w:t xml:space="preserve">olar </w:t>
            </w:r>
            <w:r w:rsidR="000213AD">
              <w:rPr>
                <w:b/>
              </w:rPr>
              <w:t>e</w:t>
            </w:r>
            <w:r>
              <w:rPr>
                <w:b/>
              </w:rPr>
              <w:t xml:space="preserve">nergy </w:t>
            </w:r>
            <w:r w:rsidR="000213AD">
              <w:rPr>
                <w:b/>
              </w:rPr>
              <w:t>s</w:t>
            </w:r>
            <w:r>
              <w:rPr>
                <w:b/>
              </w:rPr>
              <w:t>ystems</w:t>
            </w:r>
            <w:r>
              <w:t>, and other uses listed in the definition of a “primary use” as accessory.</w:t>
            </w:r>
          </w:p>
        </w:tc>
        <w:tc>
          <w:tcPr>
            <w:tcW w:w="2550" w:type="dxa"/>
            <w:shd w:val="clear" w:color="auto" w:fill="auto"/>
            <w:tcMar>
              <w:top w:w="100" w:type="dxa"/>
              <w:left w:w="100" w:type="dxa"/>
              <w:bottom w:w="100" w:type="dxa"/>
              <w:right w:w="100" w:type="dxa"/>
            </w:tcMar>
          </w:tcPr>
          <w:p w14:paraId="00000085" w14:textId="70F6B82D" w:rsidR="00A06037" w:rsidRDefault="00000000">
            <w:pPr>
              <w:widowControl w:val="0"/>
              <w:spacing w:line="240" w:lineRule="auto"/>
            </w:pPr>
            <w:r>
              <w:lastRenderedPageBreak/>
              <w:t xml:space="preserve">Define </w:t>
            </w:r>
            <w:r w:rsidR="00AF717E">
              <w:t>s</w:t>
            </w:r>
            <w:r>
              <w:t xml:space="preserve">olar </w:t>
            </w:r>
            <w:r w:rsidR="00AF717E">
              <w:t>e</w:t>
            </w:r>
            <w:r>
              <w:t xml:space="preserve">nergy </w:t>
            </w:r>
            <w:r w:rsidR="00AF717E">
              <w:t>s</w:t>
            </w:r>
            <w:r>
              <w:t xml:space="preserve">ystems as </w:t>
            </w:r>
            <w:r w:rsidR="00AF717E">
              <w:t>a</w:t>
            </w:r>
            <w:r>
              <w:t>ccessory use</w:t>
            </w:r>
          </w:p>
        </w:tc>
        <w:tc>
          <w:tcPr>
            <w:tcW w:w="2205" w:type="dxa"/>
            <w:shd w:val="clear" w:color="auto" w:fill="auto"/>
            <w:tcMar>
              <w:top w:w="100" w:type="dxa"/>
              <w:left w:w="100" w:type="dxa"/>
              <w:bottom w:w="100" w:type="dxa"/>
              <w:right w:w="100" w:type="dxa"/>
            </w:tcMar>
          </w:tcPr>
          <w:p w14:paraId="00000086" w14:textId="77777777" w:rsidR="00A06037" w:rsidRDefault="00A06037">
            <w:pPr>
              <w:widowControl w:val="0"/>
              <w:spacing w:line="240" w:lineRule="auto"/>
            </w:pPr>
          </w:p>
        </w:tc>
      </w:tr>
      <w:tr w:rsidR="00A06037" w14:paraId="27F09997" w14:textId="77777777">
        <w:tc>
          <w:tcPr>
            <w:tcW w:w="1260" w:type="dxa"/>
            <w:shd w:val="clear" w:color="auto" w:fill="auto"/>
            <w:tcMar>
              <w:top w:w="100" w:type="dxa"/>
              <w:left w:w="100" w:type="dxa"/>
              <w:bottom w:w="100" w:type="dxa"/>
              <w:right w:w="100" w:type="dxa"/>
            </w:tcMar>
          </w:tcPr>
          <w:p w14:paraId="00000087" w14:textId="77777777" w:rsidR="00A06037" w:rsidRDefault="00000000">
            <w:pPr>
              <w:widowControl w:val="0"/>
              <w:spacing w:line="240" w:lineRule="auto"/>
              <w:rPr>
                <w:b/>
              </w:rPr>
            </w:pPr>
            <w:r>
              <w:rPr>
                <w:b/>
              </w:rPr>
              <w:t>Table 21.4-A</w:t>
            </w:r>
          </w:p>
        </w:tc>
        <w:tc>
          <w:tcPr>
            <w:tcW w:w="6870" w:type="dxa"/>
            <w:shd w:val="clear" w:color="auto" w:fill="auto"/>
            <w:tcMar>
              <w:top w:w="100" w:type="dxa"/>
              <w:left w:w="100" w:type="dxa"/>
              <w:bottom w:w="100" w:type="dxa"/>
              <w:right w:w="100" w:type="dxa"/>
            </w:tcMar>
          </w:tcPr>
          <w:p w14:paraId="00000088" w14:textId="77777777" w:rsidR="00A06037" w:rsidRDefault="00000000">
            <w:pPr>
              <w:widowControl w:val="0"/>
              <w:spacing w:line="240" w:lineRule="auto"/>
            </w:pPr>
            <w:r>
              <w:t>Power generating</w:t>
            </w:r>
          </w:p>
          <w:p w14:paraId="00000089" w14:textId="77777777" w:rsidR="00A06037" w:rsidRDefault="00A06037">
            <w:pPr>
              <w:widowControl w:val="0"/>
              <w:spacing w:line="240" w:lineRule="auto"/>
              <w:ind w:left="720" w:hanging="360"/>
            </w:pPr>
          </w:p>
          <w:p w14:paraId="0000008A" w14:textId="77777777" w:rsidR="00A06037" w:rsidRDefault="00000000">
            <w:pPr>
              <w:widowControl w:val="0"/>
              <w:spacing w:line="240" w:lineRule="auto"/>
            </w:pPr>
            <w:r>
              <w:t xml:space="preserve">Establishments engaged in the generation of electrical energy for sale to consumers, including biofuel facilities, hydro facilities, gas facilities, </w:t>
            </w:r>
            <w:r>
              <w:rPr>
                <w:b/>
              </w:rPr>
              <w:t>solar facilities,</w:t>
            </w:r>
            <w:r>
              <w:t xml:space="preserve"> and diesel facilities. Outside storage or display is included as part of the use. The use does not include biofuel facilities accessory to </w:t>
            </w:r>
            <w:proofErr w:type="gramStart"/>
            <w:r>
              <w:t>a primary</w:t>
            </w:r>
            <w:proofErr w:type="gramEnd"/>
            <w:r>
              <w:t xml:space="preserve"> use. Transmission lines located off the site of the power plant are included under "Pipelines and Power Transmission.” Electrical substations are included under "Public Utility Centers."</w:t>
            </w:r>
          </w:p>
        </w:tc>
        <w:tc>
          <w:tcPr>
            <w:tcW w:w="2550" w:type="dxa"/>
            <w:shd w:val="clear" w:color="auto" w:fill="auto"/>
            <w:tcMar>
              <w:top w:w="100" w:type="dxa"/>
              <w:left w:w="100" w:type="dxa"/>
              <w:bottom w:w="100" w:type="dxa"/>
              <w:right w:w="100" w:type="dxa"/>
            </w:tcMar>
          </w:tcPr>
          <w:p w14:paraId="0000008B" w14:textId="4404785B" w:rsidR="00A06037" w:rsidRDefault="00000000">
            <w:pPr>
              <w:widowControl w:val="0"/>
              <w:spacing w:line="240" w:lineRule="auto"/>
            </w:pPr>
            <w:r>
              <w:t xml:space="preserve">Expand </w:t>
            </w:r>
            <w:r w:rsidR="000213AD">
              <w:t>p</w:t>
            </w:r>
            <w:r>
              <w:t>rimary use “Power Generating” to include solar facilities.</w:t>
            </w:r>
          </w:p>
        </w:tc>
        <w:tc>
          <w:tcPr>
            <w:tcW w:w="2205" w:type="dxa"/>
            <w:shd w:val="clear" w:color="auto" w:fill="auto"/>
            <w:tcMar>
              <w:top w:w="100" w:type="dxa"/>
              <w:left w:w="100" w:type="dxa"/>
              <w:bottom w:w="100" w:type="dxa"/>
              <w:right w:w="100" w:type="dxa"/>
            </w:tcMar>
          </w:tcPr>
          <w:p w14:paraId="0000008C" w14:textId="77777777" w:rsidR="00A06037" w:rsidRDefault="00A06037">
            <w:pPr>
              <w:widowControl w:val="0"/>
              <w:spacing w:line="240" w:lineRule="auto"/>
            </w:pPr>
          </w:p>
        </w:tc>
      </w:tr>
      <w:tr w:rsidR="00A06037" w14:paraId="5440FF82" w14:textId="77777777">
        <w:tc>
          <w:tcPr>
            <w:tcW w:w="1260" w:type="dxa"/>
            <w:tcMar>
              <w:top w:w="100" w:type="dxa"/>
              <w:left w:w="100" w:type="dxa"/>
              <w:bottom w:w="100" w:type="dxa"/>
              <w:right w:w="100" w:type="dxa"/>
            </w:tcMar>
          </w:tcPr>
          <w:p w14:paraId="0000008D" w14:textId="77777777" w:rsidR="00A06037" w:rsidRDefault="00000000">
            <w:pPr>
              <w:widowControl w:val="0"/>
              <w:spacing w:line="240" w:lineRule="auto"/>
              <w:rPr>
                <w:b/>
              </w:rPr>
            </w:pPr>
            <w:r>
              <w:rPr>
                <w:b/>
              </w:rPr>
              <w:t>30.4.</w:t>
            </w:r>
            <w:proofErr w:type="gramStart"/>
            <w:r>
              <w:rPr>
                <w:b/>
              </w:rPr>
              <w:t>6.F</w:t>
            </w:r>
            <w:proofErr w:type="gramEnd"/>
          </w:p>
        </w:tc>
        <w:tc>
          <w:tcPr>
            <w:tcW w:w="6870" w:type="dxa"/>
            <w:tcMar>
              <w:top w:w="100" w:type="dxa"/>
              <w:left w:w="100" w:type="dxa"/>
              <w:bottom w:w="100" w:type="dxa"/>
              <w:right w:w="100" w:type="dxa"/>
            </w:tcMar>
          </w:tcPr>
          <w:p w14:paraId="0000008E" w14:textId="77777777" w:rsidR="00A06037" w:rsidRDefault="00000000">
            <w:pPr>
              <w:widowControl w:val="0"/>
              <w:spacing w:line="240" w:lineRule="auto"/>
              <w:rPr>
                <w:b/>
              </w:rPr>
            </w:pPr>
            <w:r>
              <w:rPr>
                <w:b/>
              </w:rPr>
              <w:t>F.  Exemption for Ground Mounted Solar Energy Systems for Residential Use</w:t>
            </w:r>
          </w:p>
          <w:p w14:paraId="0000008F" w14:textId="77777777" w:rsidR="00A06037" w:rsidRDefault="00A06037">
            <w:pPr>
              <w:widowControl w:val="0"/>
              <w:spacing w:line="240" w:lineRule="auto"/>
              <w:rPr>
                <w:b/>
              </w:rPr>
            </w:pPr>
          </w:p>
          <w:p w14:paraId="249D1AC4" w14:textId="722B9BC2" w:rsidR="00A06037" w:rsidRDefault="00000000">
            <w:pPr>
              <w:widowControl w:val="0"/>
              <w:spacing w:line="240" w:lineRule="auto"/>
              <w:rPr>
                <w:b/>
              </w:rPr>
            </w:pPr>
            <w:r>
              <w:rPr>
                <w:b/>
              </w:rPr>
              <w:t xml:space="preserve">Land coverage underlying ground mounted solar energy systems on a solar mounting device anchored to a below grade concrete base </w:t>
            </w:r>
            <w:r w:rsidR="000213AD">
              <w:rPr>
                <w:b/>
              </w:rPr>
              <w:t xml:space="preserve">shall not be </w:t>
            </w:r>
            <w:r w:rsidR="008D436A">
              <w:rPr>
                <w:b/>
              </w:rPr>
              <w:t xml:space="preserve">included </w:t>
            </w:r>
            <w:proofErr w:type="gramStart"/>
            <w:r w:rsidR="008D436A">
              <w:rPr>
                <w:b/>
              </w:rPr>
              <w:t>in</w:t>
            </w:r>
            <w:r w:rsidR="000213AD">
              <w:rPr>
                <w:b/>
              </w:rPr>
              <w:t xml:space="preserve"> </w:t>
            </w:r>
            <w:r>
              <w:rPr>
                <w:b/>
              </w:rPr>
              <w:t xml:space="preserve"> calculation</w:t>
            </w:r>
            <w:proofErr w:type="gramEnd"/>
            <w:r>
              <w:rPr>
                <w:b/>
              </w:rPr>
              <w:t xml:space="preserve"> of land coverage if the solar collectors are elevated at least 18 inches off the ground. </w:t>
            </w:r>
            <w:r w:rsidR="001351EE">
              <w:rPr>
                <w:b/>
              </w:rPr>
              <w:t xml:space="preserve">The base supporting ground mounted solar shall count toward the coverage calculation. </w:t>
            </w:r>
            <w:r>
              <w:rPr>
                <w:b/>
              </w:rPr>
              <w:t>This exemption shall apply only to residential parcels on non-sensitive lands provided the solar energy systems meet all applicable requirements of this Code.</w:t>
            </w:r>
          </w:p>
          <w:p w14:paraId="5B56057C" w14:textId="77777777" w:rsidR="000A5A39" w:rsidRDefault="000A5A39">
            <w:pPr>
              <w:widowControl w:val="0"/>
              <w:spacing w:line="240" w:lineRule="auto"/>
              <w:rPr>
                <w:b/>
              </w:rPr>
            </w:pPr>
          </w:p>
          <w:p w14:paraId="00000090" w14:textId="05F64B66" w:rsidR="000A5A39" w:rsidRPr="000A5A39" w:rsidRDefault="000A5A39" w:rsidP="000A5A39">
            <w:pPr>
              <w:pStyle w:val="ListParagraph"/>
              <w:widowControl w:val="0"/>
              <w:numPr>
                <w:ilvl w:val="0"/>
                <w:numId w:val="6"/>
              </w:numPr>
              <w:spacing w:line="240" w:lineRule="auto"/>
              <w:rPr>
                <w:b/>
              </w:rPr>
            </w:pPr>
            <w:r>
              <w:rPr>
                <w:b/>
              </w:rPr>
              <w:t xml:space="preserve">Applicants seeking a coverage reduction for ground mounted solar energy systems must demonstrate that roof mounted solar is infeasible or </w:t>
            </w:r>
            <w:r w:rsidR="00AF0F36">
              <w:rPr>
                <w:b/>
              </w:rPr>
              <w:t>that ground mounted solar will require the removal of fewer trees.</w:t>
            </w:r>
          </w:p>
        </w:tc>
        <w:tc>
          <w:tcPr>
            <w:tcW w:w="2550" w:type="dxa"/>
            <w:shd w:val="clear" w:color="auto" w:fill="auto"/>
            <w:tcMar>
              <w:top w:w="100" w:type="dxa"/>
              <w:left w:w="100" w:type="dxa"/>
              <w:bottom w:w="100" w:type="dxa"/>
              <w:right w:w="100" w:type="dxa"/>
            </w:tcMar>
          </w:tcPr>
          <w:p w14:paraId="00000091" w14:textId="6ACEFD94" w:rsidR="00A06037" w:rsidRDefault="00000000">
            <w:pPr>
              <w:widowControl w:val="0"/>
              <w:spacing w:line="240" w:lineRule="auto"/>
            </w:pPr>
            <w:r>
              <w:t>Provide coverage exemption for ground mounted solar</w:t>
            </w:r>
            <w:r w:rsidR="00AF0F36">
              <w:t xml:space="preserve"> </w:t>
            </w:r>
          </w:p>
        </w:tc>
        <w:tc>
          <w:tcPr>
            <w:tcW w:w="2205" w:type="dxa"/>
            <w:shd w:val="clear" w:color="auto" w:fill="auto"/>
            <w:tcMar>
              <w:top w:w="100" w:type="dxa"/>
              <w:left w:w="100" w:type="dxa"/>
              <w:bottom w:w="100" w:type="dxa"/>
              <w:right w:w="100" w:type="dxa"/>
            </w:tcMar>
          </w:tcPr>
          <w:p w14:paraId="00000092" w14:textId="77777777" w:rsidR="00A06037" w:rsidRDefault="00A06037">
            <w:pPr>
              <w:widowControl w:val="0"/>
              <w:spacing w:line="240" w:lineRule="auto"/>
            </w:pPr>
          </w:p>
        </w:tc>
      </w:tr>
      <w:tr w:rsidR="00A06037" w14:paraId="6BD1C100" w14:textId="77777777">
        <w:tc>
          <w:tcPr>
            <w:tcW w:w="1260" w:type="dxa"/>
            <w:shd w:val="clear" w:color="auto" w:fill="auto"/>
            <w:tcMar>
              <w:top w:w="100" w:type="dxa"/>
              <w:left w:w="100" w:type="dxa"/>
              <w:bottom w:w="100" w:type="dxa"/>
              <w:right w:w="100" w:type="dxa"/>
            </w:tcMar>
          </w:tcPr>
          <w:p w14:paraId="0000009B" w14:textId="77777777" w:rsidR="00A06037" w:rsidRDefault="00000000">
            <w:pPr>
              <w:widowControl w:val="0"/>
              <w:spacing w:line="240" w:lineRule="auto"/>
              <w:rPr>
                <w:b/>
              </w:rPr>
            </w:pPr>
            <w:r>
              <w:lastRenderedPageBreak/>
              <w:t>36.5.</w:t>
            </w:r>
            <w:proofErr w:type="gramStart"/>
            <w:r>
              <w:t>4.A.</w:t>
            </w:r>
            <w:proofErr w:type="gramEnd"/>
            <w:r>
              <w:t>1</w:t>
            </w:r>
            <w:r>
              <w:rPr>
                <w:b/>
              </w:rPr>
              <w:t>.</w:t>
            </w:r>
          </w:p>
        </w:tc>
        <w:tc>
          <w:tcPr>
            <w:tcW w:w="6870" w:type="dxa"/>
            <w:shd w:val="clear" w:color="auto" w:fill="auto"/>
            <w:tcMar>
              <w:top w:w="100" w:type="dxa"/>
              <w:left w:w="100" w:type="dxa"/>
              <w:bottom w:w="100" w:type="dxa"/>
              <w:right w:w="100" w:type="dxa"/>
            </w:tcMar>
          </w:tcPr>
          <w:p w14:paraId="0000009C" w14:textId="77777777" w:rsidR="00A06037" w:rsidRDefault="00000000">
            <w:pPr>
              <w:widowControl w:val="0"/>
              <w:spacing w:line="240" w:lineRule="auto"/>
              <w:rPr>
                <w:b/>
              </w:rPr>
            </w:pPr>
            <w:r>
              <w:t xml:space="preserve">Decks (except decks for off street parking), stairs, canopies, building, </w:t>
            </w:r>
            <w:r>
              <w:rPr>
                <w:b/>
              </w:rPr>
              <w:t>solar mounting structures,</w:t>
            </w:r>
            <w:r>
              <w:t xml:space="preserve"> or roof overhangs shall not intrude into the 20-foot setback established in this subparagraph.</w:t>
            </w:r>
          </w:p>
        </w:tc>
        <w:tc>
          <w:tcPr>
            <w:tcW w:w="2550" w:type="dxa"/>
            <w:shd w:val="clear" w:color="auto" w:fill="auto"/>
            <w:tcMar>
              <w:top w:w="100" w:type="dxa"/>
              <w:left w:w="100" w:type="dxa"/>
              <w:bottom w:w="100" w:type="dxa"/>
              <w:right w:w="100" w:type="dxa"/>
            </w:tcMar>
          </w:tcPr>
          <w:p w14:paraId="0000009D" w14:textId="77777777" w:rsidR="00A06037" w:rsidRDefault="00A06037">
            <w:pPr>
              <w:widowControl w:val="0"/>
              <w:spacing w:line="240" w:lineRule="auto"/>
            </w:pPr>
          </w:p>
        </w:tc>
        <w:tc>
          <w:tcPr>
            <w:tcW w:w="2205" w:type="dxa"/>
            <w:shd w:val="clear" w:color="auto" w:fill="auto"/>
            <w:tcMar>
              <w:top w:w="100" w:type="dxa"/>
              <w:left w:w="100" w:type="dxa"/>
              <w:bottom w:w="100" w:type="dxa"/>
              <w:right w:w="100" w:type="dxa"/>
            </w:tcMar>
          </w:tcPr>
          <w:p w14:paraId="0000009E" w14:textId="77777777" w:rsidR="00A06037" w:rsidRDefault="00A06037">
            <w:pPr>
              <w:widowControl w:val="0"/>
              <w:spacing w:line="240" w:lineRule="auto"/>
            </w:pPr>
          </w:p>
        </w:tc>
      </w:tr>
      <w:tr w:rsidR="00A06037" w14:paraId="68E60F6A" w14:textId="77777777">
        <w:tc>
          <w:tcPr>
            <w:tcW w:w="1260" w:type="dxa"/>
            <w:shd w:val="clear" w:color="auto" w:fill="auto"/>
            <w:tcMar>
              <w:top w:w="100" w:type="dxa"/>
              <w:left w:w="100" w:type="dxa"/>
              <w:bottom w:w="100" w:type="dxa"/>
              <w:right w:w="100" w:type="dxa"/>
            </w:tcMar>
          </w:tcPr>
          <w:p w14:paraId="0000009F" w14:textId="77777777" w:rsidR="00A06037" w:rsidRDefault="00000000">
            <w:pPr>
              <w:widowControl w:val="0"/>
              <w:spacing w:line="240" w:lineRule="auto"/>
            </w:pPr>
            <w:r>
              <w:t xml:space="preserve">37.4.3.A. </w:t>
            </w:r>
          </w:p>
        </w:tc>
        <w:tc>
          <w:tcPr>
            <w:tcW w:w="6870" w:type="dxa"/>
            <w:shd w:val="clear" w:color="auto" w:fill="auto"/>
            <w:tcMar>
              <w:top w:w="100" w:type="dxa"/>
              <w:left w:w="100" w:type="dxa"/>
              <w:bottom w:w="100" w:type="dxa"/>
              <w:right w:w="100" w:type="dxa"/>
            </w:tcMar>
          </w:tcPr>
          <w:p w14:paraId="000000A0" w14:textId="77777777" w:rsidR="00A06037" w:rsidRDefault="00000000">
            <w:pPr>
              <w:widowControl w:val="0"/>
              <w:spacing w:line="240" w:lineRule="auto"/>
            </w:pPr>
            <w:r>
              <w:t xml:space="preserve">Chimneys, flues, vents, antennas, </w:t>
            </w:r>
            <w:r>
              <w:rPr>
                <w:b/>
              </w:rPr>
              <w:t xml:space="preserve">solar energy systems, </w:t>
            </w:r>
            <w:r>
              <w:t>and similar appurtenances may be erected to a height ten percent greater than the otherwise permissible maximum height of a building, or a height of six feet, whichever is less.</w:t>
            </w:r>
          </w:p>
        </w:tc>
        <w:tc>
          <w:tcPr>
            <w:tcW w:w="2550" w:type="dxa"/>
            <w:shd w:val="clear" w:color="auto" w:fill="auto"/>
            <w:tcMar>
              <w:top w:w="100" w:type="dxa"/>
              <w:left w:w="100" w:type="dxa"/>
              <w:bottom w:w="100" w:type="dxa"/>
              <w:right w:w="100" w:type="dxa"/>
            </w:tcMar>
          </w:tcPr>
          <w:p w14:paraId="000000A1" w14:textId="77777777" w:rsidR="00A06037" w:rsidRDefault="00000000">
            <w:pPr>
              <w:widowControl w:val="0"/>
              <w:spacing w:line="240" w:lineRule="auto"/>
            </w:pPr>
            <w:r>
              <w:t>Expand the height exemptions to include solar energy systems.</w:t>
            </w:r>
          </w:p>
        </w:tc>
        <w:tc>
          <w:tcPr>
            <w:tcW w:w="2205" w:type="dxa"/>
            <w:shd w:val="clear" w:color="auto" w:fill="auto"/>
            <w:tcMar>
              <w:top w:w="100" w:type="dxa"/>
              <w:left w:w="100" w:type="dxa"/>
              <w:bottom w:w="100" w:type="dxa"/>
              <w:right w:w="100" w:type="dxa"/>
            </w:tcMar>
          </w:tcPr>
          <w:p w14:paraId="000000A2" w14:textId="77777777" w:rsidR="00A06037" w:rsidRDefault="00A06037">
            <w:pPr>
              <w:widowControl w:val="0"/>
              <w:spacing w:line="240" w:lineRule="auto"/>
            </w:pPr>
          </w:p>
        </w:tc>
      </w:tr>
      <w:tr w:rsidR="00A06037" w14:paraId="5CEA3D6F" w14:textId="77777777">
        <w:tc>
          <w:tcPr>
            <w:tcW w:w="1260" w:type="dxa"/>
            <w:shd w:val="clear" w:color="auto" w:fill="auto"/>
            <w:tcMar>
              <w:top w:w="100" w:type="dxa"/>
              <w:left w:w="100" w:type="dxa"/>
              <w:bottom w:w="100" w:type="dxa"/>
              <w:right w:w="100" w:type="dxa"/>
            </w:tcMar>
          </w:tcPr>
          <w:p w14:paraId="000000A3" w14:textId="77777777" w:rsidR="00A06037" w:rsidRDefault="00000000">
            <w:pPr>
              <w:widowControl w:val="0"/>
              <w:spacing w:line="240" w:lineRule="auto"/>
            </w:pPr>
            <w:r>
              <w:t>61.1.</w:t>
            </w:r>
            <w:proofErr w:type="gramStart"/>
            <w:r>
              <w:t>4.C.</w:t>
            </w:r>
            <w:proofErr w:type="gramEnd"/>
            <w:r>
              <w:t>1</w:t>
            </w:r>
          </w:p>
        </w:tc>
        <w:tc>
          <w:tcPr>
            <w:tcW w:w="6870" w:type="dxa"/>
            <w:shd w:val="clear" w:color="auto" w:fill="auto"/>
            <w:tcMar>
              <w:top w:w="100" w:type="dxa"/>
              <w:left w:w="100" w:type="dxa"/>
              <w:bottom w:w="100" w:type="dxa"/>
              <w:right w:w="100" w:type="dxa"/>
            </w:tcMar>
          </w:tcPr>
          <w:p w14:paraId="000000A4" w14:textId="0E0361AF" w:rsidR="00A06037" w:rsidRDefault="00000000">
            <w:pPr>
              <w:widowControl w:val="0"/>
              <w:spacing w:line="240" w:lineRule="auto"/>
              <w:rPr>
                <w:b/>
              </w:rPr>
            </w:pPr>
            <w:r>
              <w:t xml:space="preserve">TRPA may approve the removal of healthy trees </w:t>
            </w:r>
            <w:r w:rsidR="00AF0F36" w:rsidRPr="00AF0F36">
              <w:rPr>
                <w:b/>
                <w:bCs/>
              </w:rPr>
              <w:t>on the applicant’s property</w:t>
            </w:r>
            <w:r w:rsidR="00AF0F36">
              <w:t xml:space="preserve"> </w:t>
            </w:r>
            <w:r>
              <w:t xml:space="preserve">provided TRPA finds that the trees unreasonably impede the operation of an </w:t>
            </w:r>
            <w:r>
              <w:rPr>
                <w:b/>
              </w:rPr>
              <w:t>active or passive</w:t>
            </w:r>
            <w:r>
              <w:t xml:space="preserve"> solar energy system and that the solar energy system is properly located so as to minimize the need for tree </w:t>
            </w:r>
            <w:proofErr w:type="gramStart"/>
            <w:r>
              <w:t>removal</w:t>
            </w:r>
            <w:r w:rsidR="000213AD">
              <w:t>, and</w:t>
            </w:r>
            <w:proofErr w:type="gramEnd"/>
            <w:r w:rsidR="000213AD">
              <w:t xml:space="preserve"> provided i</w:t>
            </w:r>
            <w:r w:rsidR="007D5C0F">
              <w:t>t</w:t>
            </w:r>
            <w:r w:rsidR="000213AD">
              <w:t xml:space="preserve"> does not cause a reduction in the scenic score for the property</w:t>
            </w:r>
            <w:r w:rsidR="007D5C0F">
              <w:t xml:space="preserve"> pursuant to section 66.3.4</w:t>
            </w:r>
            <w:r>
              <w:t xml:space="preserve">. </w:t>
            </w:r>
            <w:r>
              <w:rPr>
                <w:b/>
              </w:rPr>
              <w:t xml:space="preserve">TRPA will prioritize tree removal for solar systems that support human health and safety. </w:t>
            </w:r>
          </w:p>
        </w:tc>
        <w:tc>
          <w:tcPr>
            <w:tcW w:w="2550" w:type="dxa"/>
            <w:shd w:val="clear" w:color="auto" w:fill="auto"/>
            <w:tcMar>
              <w:top w:w="100" w:type="dxa"/>
              <w:left w:w="100" w:type="dxa"/>
              <w:bottom w:w="100" w:type="dxa"/>
              <w:right w:w="100" w:type="dxa"/>
            </w:tcMar>
          </w:tcPr>
          <w:p w14:paraId="000000A5" w14:textId="77777777" w:rsidR="00A06037" w:rsidRDefault="00000000">
            <w:pPr>
              <w:widowControl w:val="0"/>
              <w:spacing w:line="240" w:lineRule="auto"/>
            </w:pPr>
            <w:r>
              <w:t>Expedited tree removal for installation of solar panels and equipment related to healthcare service projects, for energy storage (Table 21.4-A).</w:t>
            </w:r>
          </w:p>
          <w:p w14:paraId="000000A6" w14:textId="77777777" w:rsidR="00A06037" w:rsidRDefault="00A06037">
            <w:pPr>
              <w:widowControl w:val="0"/>
              <w:spacing w:line="240" w:lineRule="auto"/>
            </w:pPr>
          </w:p>
        </w:tc>
        <w:tc>
          <w:tcPr>
            <w:tcW w:w="2205" w:type="dxa"/>
            <w:shd w:val="clear" w:color="auto" w:fill="auto"/>
            <w:tcMar>
              <w:top w:w="100" w:type="dxa"/>
              <w:left w:w="100" w:type="dxa"/>
              <w:bottom w:w="100" w:type="dxa"/>
              <w:right w:w="100" w:type="dxa"/>
            </w:tcMar>
          </w:tcPr>
          <w:p w14:paraId="000000A7" w14:textId="77777777" w:rsidR="00A06037" w:rsidRDefault="00A06037">
            <w:pPr>
              <w:widowControl w:val="0"/>
              <w:spacing w:line="240" w:lineRule="auto"/>
            </w:pPr>
          </w:p>
        </w:tc>
      </w:tr>
      <w:tr w:rsidR="00A06037" w14:paraId="2143A2B1" w14:textId="77777777">
        <w:tc>
          <w:tcPr>
            <w:tcW w:w="1260" w:type="dxa"/>
            <w:shd w:val="clear" w:color="auto" w:fill="auto"/>
            <w:tcMar>
              <w:top w:w="100" w:type="dxa"/>
              <w:left w:w="100" w:type="dxa"/>
              <w:bottom w:w="100" w:type="dxa"/>
              <w:right w:w="100" w:type="dxa"/>
            </w:tcMar>
          </w:tcPr>
          <w:p w14:paraId="000000A8" w14:textId="77777777" w:rsidR="00A06037" w:rsidRDefault="00000000">
            <w:pPr>
              <w:widowControl w:val="0"/>
              <w:spacing w:line="240" w:lineRule="auto"/>
            </w:pPr>
            <w:r>
              <w:rPr>
                <w:b/>
              </w:rPr>
              <w:t>66.3.4.D</w:t>
            </w:r>
            <w:r>
              <w:t xml:space="preserve"> </w:t>
            </w:r>
          </w:p>
        </w:tc>
        <w:tc>
          <w:tcPr>
            <w:tcW w:w="6870" w:type="dxa"/>
            <w:shd w:val="clear" w:color="auto" w:fill="auto"/>
            <w:tcMar>
              <w:top w:w="100" w:type="dxa"/>
              <w:left w:w="100" w:type="dxa"/>
              <w:bottom w:w="100" w:type="dxa"/>
              <w:right w:w="100" w:type="dxa"/>
            </w:tcMar>
          </w:tcPr>
          <w:p w14:paraId="000000A9" w14:textId="77777777" w:rsidR="00A06037" w:rsidRDefault="00000000">
            <w:pPr>
              <w:widowControl w:val="0"/>
              <w:spacing w:line="240" w:lineRule="auto"/>
              <w:rPr>
                <w:b/>
              </w:rPr>
            </w:pPr>
            <w:r>
              <w:rPr>
                <w:b/>
              </w:rPr>
              <w:t>Solar Energy Systems</w:t>
            </w:r>
          </w:p>
          <w:p w14:paraId="000000AA" w14:textId="77777777" w:rsidR="00A06037" w:rsidRDefault="00A06037">
            <w:pPr>
              <w:widowControl w:val="0"/>
              <w:spacing w:line="240" w:lineRule="auto"/>
              <w:rPr>
                <w:b/>
              </w:rPr>
            </w:pPr>
          </w:p>
          <w:p w14:paraId="000000AB" w14:textId="1C6E945D" w:rsidR="00A06037" w:rsidRDefault="00000000">
            <w:pPr>
              <w:widowControl w:val="0"/>
              <w:spacing w:line="240" w:lineRule="auto"/>
              <w:rPr>
                <w:b/>
              </w:rPr>
            </w:pPr>
            <w:r>
              <w:rPr>
                <w:b/>
              </w:rPr>
              <w:t xml:space="preserve">Solar energy systems shall not be counted against </w:t>
            </w:r>
            <w:r w:rsidR="007D5C0F">
              <w:rPr>
                <w:b/>
              </w:rPr>
              <w:t xml:space="preserve">the </w:t>
            </w:r>
            <w:r>
              <w:rPr>
                <w:b/>
              </w:rPr>
              <w:t>scenic score if the system is found to comply with Sec. 36.6.1.C</w:t>
            </w:r>
          </w:p>
          <w:p w14:paraId="000000AC" w14:textId="77777777" w:rsidR="00A06037" w:rsidRDefault="00A06037">
            <w:pPr>
              <w:widowControl w:val="0"/>
              <w:spacing w:line="240" w:lineRule="auto"/>
            </w:pPr>
          </w:p>
        </w:tc>
        <w:tc>
          <w:tcPr>
            <w:tcW w:w="2550" w:type="dxa"/>
            <w:shd w:val="clear" w:color="auto" w:fill="auto"/>
            <w:tcMar>
              <w:top w:w="100" w:type="dxa"/>
              <w:left w:w="100" w:type="dxa"/>
              <w:bottom w:w="100" w:type="dxa"/>
              <w:right w:w="100" w:type="dxa"/>
            </w:tcMar>
          </w:tcPr>
          <w:p w14:paraId="000000AD" w14:textId="77777777" w:rsidR="00A06037" w:rsidRDefault="00A06037">
            <w:pPr>
              <w:widowControl w:val="0"/>
              <w:spacing w:line="240" w:lineRule="auto"/>
            </w:pPr>
          </w:p>
        </w:tc>
        <w:tc>
          <w:tcPr>
            <w:tcW w:w="2205" w:type="dxa"/>
            <w:shd w:val="clear" w:color="auto" w:fill="auto"/>
            <w:tcMar>
              <w:top w:w="100" w:type="dxa"/>
              <w:left w:w="100" w:type="dxa"/>
              <w:bottom w:w="100" w:type="dxa"/>
              <w:right w:w="100" w:type="dxa"/>
            </w:tcMar>
          </w:tcPr>
          <w:p w14:paraId="000000AE" w14:textId="77777777" w:rsidR="00A06037" w:rsidRDefault="00A06037">
            <w:pPr>
              <w:widowControl w:val="0"/>
              <w:spacing w:line="240" w:lineRule="auto"/>
            </w:pPr>
          </w:p>
        </w:tc>
      </w:tr>
    </w:tbl>
    <w:p w14:paraId="000000AF" w14:textId="77777777" w:rsidR="00A06037" w:rsidRDefault="00A06037"/>
    <w:p w14:paraId="000000B0" w14:textId="77777777" w:rsidR="00A06037" w:rsidRDefault="00A06037"/>
    <w:p w14:paraId="000000B1" w14:textId="77777777" w:rsidR="00A06037" w:rsidRDefault="00000000">
      <w:pPr>
        <w:rPr>
          <w:b/>
        </w:rPr>
      </w:pPr>
      <w:r>
        <w:br w:type="page"/>
      </w:r>
    </w:p>
    <w:p w14:paraId="000000B2" w14:textId="2661A2BB" w:rsidR="00A06037" w:rsidRDefault="00695F72">
      <w:pPr>
        <w:rPr>
          <w:b/>
        </w:rPr>
      </w:pPr>
      <w:bookmarkStart w:id="2" w:name="bookmark=id.3znysh7" w:colFirst="0" w:colLast="0"/>
      <w:bookmarkEnd w:id="2"/>
      <w:r>
        <w:rPr>
          <w:b/>
        </w:rPr>
        <w:lastRenderedPageBreak/>
        <w:t xml:space="preserve">Standards to reduce light </w:t>
      </w:r>
      <w:proofErr w:type="gramStart"/>
      <w:r>
        <w:rPr>
          <w:b/>
        </w:rPr>
        <w:t>pollution</w:t>
      </w:r>
      <w:proofErr w:type="gramEnd"/>
    </w:p>
    <w:tbl>
      <w:tblPr>
        <w:tblStyle w:val="a6"/>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9"/>
        <w:gridCol w:w="7341"/>
        <w:gridCol w:w="2670"/>
        <w:gridCol w:w="1650"/>
      </w:tblGrid>
      <w:tr w:rsidR="00A06037" w14:paraId="4F8648CF" w14:textId="77777777">
        <w:tc>
          <w:tcPr>
            <w:tcW w:w="1239" w:type="dxa"/>
            <w:shd w:val="clear" w:color="auto" w:fill="auto"/>
            <w:tcMar>
              <w:top w:w="100" w:type="dxa"/>
              <w:left w:w="100" w:type="dxa"/>
              <w:bottom w:w="100" w:type="dxa"/>
              <w:right w:w="100" w:type="dxa"/>
            </w:tcMar>
          </w:tcPr>
          <w:p w14:paraId="000000B3" w14:textId="77777777" w:rsidR="00A06037" w:rsidRDefault="00000000">
            <w:pPr>
              <w:widowControl w:val="0"/>
              <w:spacing w:line="240" w:lineRule="auto"/>
            </w:pPr>
            <w:r>
              <w:t>Code</w:t>
            </w:r>
          </w:p>
        </w:tc>
        <w:tc>
          <w:tcPr>
            <w:tcW w:w="7341" w:type="dxa"/>
            <w:shd w:val="clear" w:color="auto" w:fill="auto"/>
            <w:tcMar>
              <w:top w:w="100" w:type="dxa"/>
              <w:left w:w="100" w:type="dxa"/>
              <w:bottom w:w="100" w:type="dxa"/>
              <w:right w:w="100" w:type="dxa"/>
            </w:tcMar>
          </w:tcPr>
          <w:p w14:paraId="000000B4" w14:textId="77777777" w:rsidR="00A06037" w:rsidRDefault="00000000">
            <w:pPr>
              <w:widowControl w:val="0"/>
              <w:spacing w:line="240" w:lineRule="auto"/>
            </w:pPr>
            <w:r>
              <w:t>Draft Language</w:t>
            </w:r>
          </w:p>
        </w:tc>
        <w:tc>
          <w:tcPr>
            <w:tcW w:w="2670" w:type="dxa"/>
            <w:shd w:val="clear" w:color="auto" w:fill="auto"/>
            <w:tcMar>
              <w:top w:w="100" w:type="dxa"/>
              <w:left w:w="100" w:type="dxa"/>
              <w:bottom w:w="100" w:type="dxa"/>
              <w:right w:w="100" w:type="dxa"/>
            </w:tcMar>
          </w:tcPr>
          <w:p w14:paraId="000000B5" w14:textId="77777777" w:rsidR="00A06037" w:rsidRDefault="00000000">
            <w:pPr>
              <w:widowControl w:val="0"/>
              <w:spacing w:line="240" w:lineRule="auto"/>
            </w:pPr>
            <w:r>
              <w:t>Approach</w:t>
            </w:r>
          </w:p>
        </w:tc>
        <w:tc>
          <w:tcPr>
            <w:tcW w:w="1650" w:type="dxa"/>
            <w:shd w:val="clear" w:color="auto" w:fill="auto"/>
            <w:tcMar>
              <w:top w:w="100" w:type="dxa"/>
              <w:left w:w="100" w:type="dxa"/>
              <w:bottom w:w="100" w:type="dxa"/>
              <w:right w:w="100" w:type="dxa"/>
            </w:tcMar>
          </w:tcPr>
          <w:p w14:paraId="000000B6" w14:textId="77777777" w:rsidR="00A06037" w:rsidRDefault="00000000">
            <w:pPr>
              <w:widowControl w:val="0"/>
              <w:spacing w:line="240" w:lineRule="auto"/>
            </w:pPr>
            <w:r>
              <w:t>Notes</w:t>
            </w:r>
          </w:p>
        </w:tc>
      </w:tr>
      <w:tr w:rsidR="00A06037" w14:paraId="6DA414FA" w14:textId="77777777">
        <w:tc>
          <w:tcPr>
            <w:tcW w:w="1239" w:type="dxa"/>
            <w:shd w:val="clear" w:color="auto" w:fill="auto"/>
            <w:tcMar>
              <w:top w:w="100" w:type="dxa"/>
              <w:left w:w="100" w:type="dxa"/>
              <w:bottom w:w="100" w:type="dxa"/>
              <w:right w:w="100" w:type="dxa"/>
            </w:tcMar>
          </w:tcPr>
          <w:p w14:paraId="000000B7" w14:textId="77777777" w:rsidR="00A06037" w:rsidRDefault="00000000">
            <w:pPr>
              <w:widowControl w:val="0"/>
              <w:spacing w:line="240" w:lineRule="auto"/>
            </w:pPr>
            <w:r>
              <w:t>36.8.</w:t>
            </w:r>
            <w:proofErr w:type="gramStart"/>
            <w:r>
              <w:t>1.E.</w:t>
            </w:r>
            <w:proofErr w:type="gramEnd"/>
            <w:r>
              <w:t>1</w:t>
            </w:r>
          </w:p>
        </w:tc>
        <w:tc>
          <w:tcPr>
            <w:tcW w:w="7341" w:type="dxa"/>
            <w:shd w:val="clear" w:color="auto" w:fill="auto"/>
            <w:tcMar>
              <w:top w:w="100" w:type="dxa"/>
              <w:left w:w="100" w:type="dxa"/>
              <w:bottom w:w="100" w:type="dxa"/>
              <w:right w:w="100" w:type="dxa"/>
            </w:tcMar>
          </w:tcPr>
          <w:p w14:paraId="000000B8" w14:textId="3E9F8E2F" w:rsidR="00A06037" w:rsidRDefault="00000000">
            <w:pPr>
              <w:widowControl w:val="0"/>
              <w:spacing w:line="240" w:lineRule="auto"/>
            </w:pPr>
            <w:r>
              <w:rPr>
                <w:b/>
              </w:rPr>
              <w:t>a</w:t>
            </w:r>
            <w:r>
              <w:t>. Exterior lighting should be minimized to protect dark sky views, yet adequate to provide for public safety, and should be consistent with the architectural design</w:t>
            </w:r>
            <w:r w:rsidR="00240390">
              <w:t>.</w:t>
            </w:r>
            <w:r>
              <w:t xml:space="preserve"> </w:t>
            </w:r>
          </w:p>
          <w:p w14:paraId="000000B9" w14:textId="7B7B2F6C" w:rsidR="00A06037" w:rsidRDefault="00000000">
            <w:pPr>
              <w:widowControl w:val="0"/>
              <w:spacing w:line="240" w:lineRule="auto"/>
            </w:pPr>
            <w:r>
              <w:rPr>
                <w:b/>
              </w:rPr>
              <w:t>b</w:t>
            </w:r>
            <w:r>
              <w:t>. Exterior lighting should utilize cutoff shields that extend below the lighting element to minimize light pollution of stray light. Light shall be directed downward with no light emitted above the horizontal plane of the fixture</w:t>
            </w:r>
            <w:r w:rsidR="00240390">
              <w:t>.</w:t>
            </w:r>
          </w:p>
          <w:p w14:paraId="000000BA" w14:textId="77777777" w:rsidR="00A06037" w:rsidRDefault="00000000">
            <w:pPr>
              <w:widowControl w:val="0"/>
              <w:spacing w:line="240" w:lineRule="auto"/>
            </w:pPr>
            <w:r>
              <w:rPr>
                <w:b/>
              </w:rPr>
              <w:t>c</w:t>
            </w:r>
            <w:r>
              <w:t xml:space="preserve">. Overall levels should be compatible with the neighborhood light level. Emphasis should be placed on a few, well placed, low-intensity lights. </w:t>
            </w:r>
          </w:p>
          <w:p w14:paraId="000000BB" w14:textId="44EE9B69" w:rsidR="00A06037" w:rsidRDefault="00000000">
            <w:pPr>
              <w:widowControl w:val="0"/>
              <w:spacing w:line="240" w:lineRule="auto"/>
            </w:pPr>
            <w:r>
              <w:rPr>
                <w:b/>
              </w:rPr>
              <w:t>d</w:t>
            </w:r>
            <w:r>
              <w:t>. Lights should not blink, flash, or change intensity except for temporary public safety signs</w:t>
            </w:r>
            <w:r w:rsidR="00240390">
              <w:t>.</w:t>
            </w:r>
          </w:p>
          <w:p w14:paraId="000000BC" w14:textId="77777777" w:rsidR="00A06037" w:rsidRDefault="00000000">
            <w:pPr>
              <w:widowControl w:val="0"/>
              <w:spacing w:line="240" w:lineRule="auto"/>
              <w:rPr>
                <w:b/>
              </w:rPr>
            </w:pPr>
            <w:r>
              <w:rPr>
                <w:b/>
              </w:rPr>
              <w:t>e</w:t>
            </w:r>
            <w:r>
              <w:t xml:space="preserve">. Total outdoor light output shall not exceed fifty thousand (50,000) lumens per developed commercial acre, and ten thousand (10,000) lumens for parcels one-half (acre), or larger in size in residential areas. Parcels smaller than one-half (½) acre shall be permitted five thousand (5,000) lumens of lighting regardless of parcel size. Total outdoor light output of any multifamily residential development including five (5) or more separate lots or units shall not exceed twenty thousand (20,000) lumens of lighting per developed acre. </w:t>
            </w:r>
          </w:p>
          <w:p w14:paraId="000000BD" w14:textId="77777777" w:rsidR="00A06037" w:rsidRDefault="00000000">
            <w:pPr>
              <w:widowControl w:val="0"/>
              <w:spacing w:line="240" w:lineRule="auto"/>
            </w:pPr>
            <w:r>
              <w:rPr>
                <w:b/>
              </w:rPr>
              <w:t>f.</w:t>
            </w:r>
            <w:r>
              <w:t xml:space="preserve">  All exterior lighting shall utilize light sources with correlated color temperature not to exceed 3,000 Kelvin (K).</w:t>
            </w:r>
          </w:p>
        </w:tc>
        <w:tc>
          <w:tcPr>
            <w:tcW w:w="2670" w:type="dxa"/>
            <w:shd w:val="clear" w:color="auto" w:fill="auto"/>
            <w:tcMar>
              <w:top w:w="100" w:type="dxa"/>
              <w:left w:w="100" w:type="dxa"/>
              <w:bottom w:w="100" w:type="dxa"/>
              <w:right w:w="100" w:type="dxa"/>
            </w:tcMar>
          </w:tcPr>
          <w:p w14:paraId="000000BE" w14:textId="77777777" w:rsidR="00A06037" w:rsidRDefault="00000000">
            <w:pPr>
              <w:widowControl w:val="0"/>
              <w:spacing w:line="240" w:lineRule="auto"/>
            </w:pPr>
            <w:r>
              <w:t>Update TRPA’s lighting standards, include color temperature, shielding,</w:t>
            </w:r>
          </w:p>
        </w:tc>
        <w:tc>
          <w:tcPr>
            <w:tcW w:w="1650" w:type="dxa"/>
            <w:shd w:val="clear" w:color="auto" w:fill="auto"/>
            <w:tcMar>
              <w:top w:w="100" w:type="dxa"/>
              <w:left w:w="100" w:type="dxa"/>
              <w:bottom w:w="100" w:type="dxa"/>
              <w:right w:w="100" w:type="dxa"/>
            </w:tcMar>
          </w:tcPr>
          <w:p w14:paraId="000000BF" w14:textId="77777777" w:rsidR="00A06037" w:rsidRDefault="00000000">
            <w:pPr>
              <w:widowControl w:val="0"/>
              <w:spacing w:line="240" w:lineRule="auto"/>
            </w:pPr>
            <w:r>
              <w:t>Taken from area plan language and updated to better reflect dark sky requirements.</w:t>
            </w:r>
          </w:p>
          <w:p w14:paraId="000000C0" w14:textId="77777777" w:rsidR="00A06037" w:rsidRDefault="00A06037">
            <w:pPr>
              <w:widowControl w:val="0"/>
              <w:spacing w:line="240" w:lineRule="auto"/>
            </w:pPr>
          </w:p>
          <w:p w14:paraId="000000C1" w14:textId="77777777" w:rsidR="00A06037" w:rsidRDefault="00A06037">
            <w:pPr>
              <w:widowControl w:val="0"/>
              <w:spacing w:line="240" w:lineRule="auto"/>
              <w:rPr>
                <w:highlight w:val="yellow"/>
              </w:rPr>
            </w:pPr>
          </w:p>
        </w:tc>
      </w:tr>
      <w:tr w:rsidR="00A06037" w14:paraId="4AC59B41" w14:textId="77777777">
        <w:tc>
          <w:tcPr>
            <w:tcW w:w="1239" w:type="dxa"/>
            <w:shd w:val="clear" w:color="auto" w:fill="auto"/>
            <w:tcMar>
              <w:top w:w="100" w:type="dxa"/>
              <w:left w:w="100" w:type="dxa"/>
              <w:bottom w:w="100" w:type="dxa"/>
              <w:right w:w="100" w:type="dxa"/>
            </w:tcMar>
          </w:tcPr>
          <w:p w14:paraId="000000C2" w14:textId="77777777" w:rsidR="00A06037" w:rsidRDefault="00000000">
            <w:pPr>
              <w:widowControl w:val="0"/>
              <w:spacing w:line="240" w:lineRule="auto"/>
            </w:pPr>
            <w:r>
              <w:t xml:space="preserve">13.5.3.F.5 </w:t>
            </w:r>
          </w:p>
        </w:tc>
        <w:tc>
          <w:tcPr>
            <w:tcW w:w="7341" w:type="dxa"/>
            <w:shd w:val="clear" w:color="auto" w:fill="auto"/>
            <w:tcMar>
              <w:top w:w="100" w:type="dxa"/>
              <w:left w:w="100" w:type="dxa"/>
              <w:bottom w:w="100" w:type="dxa"/>
              <w:right w:w="100" w:type="dxa"/>
            </w:tcMar>
          </w:tcPr>
          <w:p w14:paraId="000000C3" w14:textId="6198A8D8" w:rsidR="00A06037" w:rsidRDefault="00240390">
            <w:pPr>
              <w:widowControl w:val="0"/>
              <w:spacing w:line="240" w:lineRule="auto"/>
            </w:pPr>
            <w:r>
              <w:t>T</w:t>
            </w:r>
            <w:r w:rsidR="00000000">
              <w:t>he standards set in 36.8.1.E.1</w:t>
            </w:r>
            <w:r>
              <w:t xml:space="preserve"> must be met</w:t>
            </w:r>
            <w:r w:rsidR="00000000">
              <w:t>.</w:t>
            </w:r>
          </w:p>
          <w:p w14:paraId="000000C4" w14:textId="77777777" w:rsidR="00A06037" w:rsidRDefault="00A06037">
            <w:pPr>
              <w:widowControl w:val="0"/>
              <w:spacing w:line="240" w:lineRule="auto"/>
            </w:pPr>
          </w:p>
        </w:tc>
        <w:tc>
          <w:tcPr>
            <w:tcW w:w="2670" w:type="dxa"/>
            <w:shd w:val="clear" w:color="auto" w:fill="auto"/>
            <w:tcMar>
              <w:top w:w="100" w:type="dxa"/>
              <w:left w:w="100" w:type="dxa"/>
              <w:bottom w:w="100" w:type="dxa"/>
              <w:right w:w="100" w:type="dxa"/>
            </w:tcMar>
          </w:tcPr>
          <w:p w14:paraId="000000C5" w14:textId="77777777" w:rsidR="00A06037" w:rsidRDefault="00000000">
            <w:pPr>
              <w:widowControl w:val="0"/>
              <w:spacing w:line="240" w:lineRule="auto"/>
            </w:pPr>
            <w:r>
              <w:t>Bolster area plans requirements. Point to 36.8.1</w:t>
            </w:r>
          </w:p>
        </w:tc>
        <w:tc>
          <w:tcPr>
            <w:tcW w:w="1650" w:type="dxa"/>
            <w:shd w:val="clear" w:color="auto" w:fill="auto"/>
            <w:tcMar>
              <w:top w:w="100" w:type="dxa"/>
              <w:left w:w="100" w:type="dxa"/>
              <w:bottom w:w="100" w:type="dxa"/>
              <w:right w:w="100" w:type="dxa"/>
            </w:tcMar>
          </w:tcPr>
          <w:p w14:paraId="000000C6" w14:textId="77777777" w:rsidR="00A06037" w:rsidRDefault="00A06037">
            <w:pPr>
              <w:widowControl w:val="0"/>
              <w:spacing w:line="240" w:lineRule="auto"/>
            </w:pPr>
          </w:p>
        </w:tc>
      </w:tr>
    </w:tbl>
    <w:p w14:paraId="000000C7" w14:textId="77777777" w:rsidR="00A06037" w:rsidRDefault="00A06037"/>
    <w:sectPr w:rsidR="00A06037">
      <w:headerReference w:type="default" r:id="rId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8798" w14:textId="77777777" w:rsidR="000A6D67" w:rsidRDefault="000A6D67">
      <w:pPr>
        <w:spacing w:line="240" w:lineRule="auto"/>
      </w:pPr>
      <w:r>
        <w:separator/>
      </w:r>
    </w:p>
  </w:endnote>
  <w:endnote w:type="continuationSeparator" w:id="0">
    <w:p w14:paraId="513EF6F4" w14:textId="77777777" w:rsidR="000A6D67" w:rsidRDefault="000A6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28F1" w14:textId="77777777" w:rsidR="000A6D67" w:rsidRDefault="000A6D67">
      <w:pPr>
        <w:spacing w:line="240" w:lineRule="auto"/>
      </w:pPr>
      <w:r>
        <w:separator/>
      </w:r>
    </w:p>
  </w:footnote>
  <w:footnote w:type="continuationSeparator" w:id="0">
    <w:p w14:paraId="3609D2FF" w14:textId="77777777" w:rsidR="000A6D67" w:rsidRDefault="000A6D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8" w14:textId="77777777" w:rsidR="00A06037" w:rsidRDefault="00A060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C18"/>
    <w:multiLevelType w:val="multilevel"/>
    <w:tmpl w:val="ABD21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015FF8"/>
    <w:multiLevelType w:val="multilevel"/>
    <w:tmpl w:val="1506F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D53211"/>
    <w:multiLevelType w:val="multilevel"/>
    <w:tmpl w:val="EF46E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961755"/>
    <w:multiLevelType w:val="multilevel"/>
    <w:tmpl w:val="09600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4460731"/>
    <w:multiLevelType w:val="multilevel"/>
    <w:tmpl w:val="20E09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ED2AF7"/>
    <w:multiLevelType w:val="multilevel"/>
    <w:tmpl w:val="09600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866529295">
    <w:abstractNumId w:val="1"/>
  </w:num>
  <w:num w:numId="2" w16cid:durableId="1158419677">
    <w:abstractNumId w:val="0"/>
  </w:num>
  <w:num w:numId="3" w16cid:durableId="1451974230">
    <w:abstractNumId w:val="4"/>
  </w:num>
  <w:num w:numId="4" w16cid:durableId="2088961392">
    <w:abstractNumId w:val="2"/>
  </w:num>
  <w:num w:numId="5" w16cid:durableId="1815832082">
    <w:abstractNumId w:val="5"/>
  </w:num>
  <w:num w:numId="6" w16cid:durableId="1086342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37"/>
    <w:rsid w:val="000213AD"/>
    <w:rsid w:val="000668BB"/>
    <w:rsid w:val="000A5A39"/>
    <w:rsid w:val="000A6D67"/>
    <w:rsid w:val="001038A1"/>
    <w:rsid w:val="00105ACD"/>
    <w:rsid w:val="001351EE"/>
    <w:rsid w:val="00240390"/>
    <w:rsid w:val="00335B58"/>
    <w:rsid w:val="003767BF"/>
    <w:rsid w:val="0051043C"/>
    <w:rsid w:val="00695F72"/>
    <w:rsid w:val="007D5C0F"/>
    <w:rsid w:val="00856E4B"/>
    <w:rsid w:val="00865CA6"/>
    <w:rsid w:val="008D0766"/>
    <w:rsid w:val="008D436A"/>
    <w:rsid w:val="00A010A7"/>
    <w:rsid w:val="00A06037"/>
    <w:rsid w:val="00A26A76"/>
    <w:rsid w:val="00AF0F36"/>
    <w:rsid w:val="00AF717E"/>
    <w:rsid w:val="00C95D05"/>
    <w:rsid w:val="00CB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D120"/>
  <w15:docId w15:val="{DFFC9334-9195-420D-AFE9-78753601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105ACD"/>
    <w:rPr>
      <w:b/>
      <w:bCs/>
    </w:rPr>
  </w:style>
  <w:style w:type="character" w:customStyle="1" w:styleId="CommentSubjectChar">
    <w:name w:val="Comment Subject Char"/>
    <w:basedOn w:val="CommentTextChar"/>
    <w:link w:val="CommentSubject"/>
    <w:uiPriority w:val="99"/>
    <w:semiHidden/>
    <w:rsid w:val="00105ACD"/>
    <w:rPr>
      <w:b/>
      <w:bCs/>
      <w:sz w:val="20"/>
      <w:szCs w:val="20"/>
    </w:rPr>
  </w:style>
  <w:style w:type="paragraph" w:styleId="ListParagraph">
    <w:name w:val="List Paragraph"/>
    <w:basedOn w:val="Normal"/>
    <w:uiPriority w:val="34"/>
    <w:qFormat/>
    <w:rsid w:val="000A5A39"/>
    <w:pPr>
      <w:ind w:left="720"/>
      <w:contextualSpacing/>
    </w:pPr>
  </w:style>
  <w:style w:type="paragraph" w:styleId="Revision">
    <w:name w:val="Revision"/>
    <w:hidden/>
    <w:uiPriority w:val="99"/>
    <w:semiHidden/>
    <w:rsid w:val="00335B5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opsolarkits.com/blogs/learning-center/do-solar-panels-reflect-ligh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GV4KKagBOQ7c5xWUTFQuEgxeFA==">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Stock</dc:creator>
  <cp:lastModifiedBy>Jacob Stock</cp:lastModifiedBy>
  <cp:revision>2</cp:revision>
  <dcterms:created xsi:type="dcterms:W3CDTF">2023-05-17T02:54:00Z</dcterms:created>
  <dcterms:modified xsi:type="dcterms:W3CDTF">2023-05-17T02:54:00Z</dcterms:modified>
</cp:coreProperties>
</file>